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6" w14:textId="38701488" w:rsidR="009B6F95" w:rsidRPr="00C803F3" w:rsidRDefault="009541C9" w:rsidP="009B6F95">
      <w:pPr>
        <w:pStyle w:val="Title1"/>
      </w:pPr>
      <w:r>
        <w:t xml:space="preserve">Raising the </w:t>
      </w:r>
      <w:r w:rsidR="00B51DF7">
        <w:t>Age of Criminal Responsibility</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BB10D26" w:rsidR="00795C95" w:rsidRDefault="00B154AF"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1AD7DF" w14:textId="2BA0B651" w:rsidR="007E268E" w:rsidRDefault="007E268E" w:rsidP="007E268E">
      <w:pPr>
        <w:ind w:left="0" w:firstLine="0"/>
      </w:pPr>
      <w:r>
        <w:t>The age of criminal responsibility (ACR) refers to the minimum age that a child can be prosecuted and punished by law for an offence. England, Wales and Northern Ireland have one of the lowest ACRs in the world at age 10. Campaigners have been calling for the ACR to be raised to reflect international standards and research around child development.</w:t>
      </w:r>
      <w:r w:rsidR="00883D96" w:rsidRPr="00883D96">
        <w:t xml:space="preserve"> In May 2019, the Equalities and Human Rights Commission called on the Government to raise the ACR, noting that “criminalising children at such a young age can have a detrimental impact on their wellbeing and development and risks making them more likely to reoffend as adults.”</w:t>
      </w:r>
    </w:p>
    <w:p w14:paraId="3FA2C2B6" w14:textId="4AEF70B1" w:rsidR="007E268E" w:rsidRPr="00464652" w:rsidRDefault="40B4D2BC" w:rsidP="007E268E">
      <w:pPr>
        <w:ind w:left="0" w:firstLine="0"/>
      </w:pPr>
      <w:r>
        <w:t xml:space="preserve">This paper </w:t>
      </w:r>
      <w:r w:rsidR="004866D5">
        <w:t xml:space="preserve">brings further information to members, following the paper in December 2019, to </w:t>
      </w:r>
      <w:r>
        <w:t>ask members to agree an LGA position on raising the ACR.</w:t>
      </w:r>
    </w:p>
    <w:p w14:paraId="5837A19D" w14:textId="3B47D495" w:rsidR="009B6F95" w:rsidRDefault="0049084D" w:rsidP="00A73C31">
      <w:pPr>
        <w:pStyle w:val="Title3"/>
        <w:ind w:left="0" w:firstLine="0"/>
      </w:pPr>
      <w:r w:rsidRPr="00C803F3">
        <w:rPr>
          <w:noProof/>
          <w:lang w:eastAsia="en-GB"/>
        </w:rPr>
        <mc:AlternateContent>
          <mc:Choice Requires="wps">
            <w:drawing>
              <wp:anchor distT="0" distB="0" distL="114300" distR="114300" simplePos="0" relativeHeight="251659264" behindDoc="0" locked="0" layoutInCell="1" allowOverlap="1" wp14:anchorId="5837A1C9" wp14:editId="1CBCEBE1">
                <wp:simplePos x="0" y="0"/>
                <wp:positionH relativeFrom="margin">
                  <wp:align>left</wp:align>
                </wp:positionH>
                <wp:positionV relativeFrom="paragraph">
                  <wp:posOffset>5080</wp:posOffset>
                </wp:positionV>
                <wp:extent cx="6438900" cy="2386013"/>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6438900" cy="2386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0879D190" w14:textId="77777777" w:rsidR="00B17FB0" w:rsidRDefault="005A66A4" w:rsidP="003B3F7E">
                                <w:pPr>
                                  <w:spacing w:after="0" w:line="240" w:lineRule="auto"/>
                                  <w:ind w:left="0" w:firstLine="0"/>
                                  <w:rPr>
                                    <w:rStyle w:val="Style6"/>
                                  </w:rPr>
                                </w:pPr>
                                <w:r w:rsidRPr="00C803F3">
                                  <w:rPr>
                                    <w:rStyle w:val="Style6"/>
                                  </w:rPr>
                                  <w:t>Recommendation/s</w:t>
                                </w:r>
                              </w:p>
                              <w:p w14:paraId="5837A1DD" w14:textId="13E6633D" w:rsidR="005A66A4" w:rsidRPr="00A627DD" w:rsidRDefault="00BD2CD0" w:rsidP="003B3F7E">
                                <w:pPr>
                                  <w:spacing w:after="0" w:line="240" w:lineRule="auto"/>
                                  <w:ind w:left="0" w:firstLine="0"/>
                                </w:pPr>
                              </w:p>
                            </w:sdtContent>
                          </w:sdt>
                          <w:p w14:paraId="0851D2F5" w14:textId="77777777" w:rsidR="00EC5FAC" w:rsidRDefault="00FD3CB2" w:rsidP="003B3F7E">
                            <w:pPr>
                              <w:pStyle w:val="Title3"/>
                              <w:spacing w:after="0" w:line="240" w:lineRule="auto"/>
                              <w:ind w:left="0" w:firstLine="0"/>
                            </w:pPr>
                            <w:r>
                              <w:t xml:space="preserve">Members are asked to consider whether </w:t>
                            </w:r>
                            <w:r w:rsidR="00EC5FAC">
                              <w:t>the LGA’s position is that:</w:t>
                            </w:r>
                          </w:p>
                          <w:p w14:paraId="2100BBF8" w14:textId="77777777" w:rsidR="00EC5FAC" w:rsidRDefault="00FD3CB2" w:rsidP="003B3F7E">
                            <w:pPr>
                              <w:pStyle w:val="Title3"/>
                              <w:numPr>
                                <w:ilvl w:val="0"/>
                                <w:numId w:val="17"/>
                              </w:numPr>
                              <w:spacing w:after="0" w:line="240" w:lineRule="auto"/>
                            </w:pPr>
                            <w:r>
                              <w:t>we should stay at the current age of Criminal Responsibility</w:t>
                            </w:r>
                          </w:p>
                          <w:p w14:paraId="00369D05" w14:textId="77777777" w:rsidR="00EC5FAC" w:rsidRDefault="0049084D" w:rsidP="003B3F7E">
                            <w:pPr>
                              <w:pStyle w:val="Title3"/>
                              <w:numPr>
                                <w:ilvl w:val="0"/>
                                <w:numId w:val="17"/>
                              </w:numPr>
                              <w:spacing w:after="0" w:line="240" w:lineRule="auto"/>
                            </w:pPr>
                            <w:r>
                              <w:t xml:space="preserve">increase the age to 12 in line with the Scottish Government or </w:t>
                            </w:r>
                          </w:p>
                          <w:p w14:paraId="5ED8A2CF" w14:textId="6B57C9CF" w:rsidR="00FD3CB2" w:rsidRDefault="0049084D" w:rsidP="003B3F7E">
                            <w:pPr>
                              <w:pStyle w:val="Title3"/>
                              <w:numPr>
                                <w:ilvl w:val="0"/>
                                <w:numId w:val="17"/>
                              </w:numPr>
                              <w:spacing w:after="0" w:line="240" w:lineRule="auto"/>
                            </w:pPr>
                            <w:r>
                              <w:t>increase to 14, in line with the European average and the recommendations from the UN</w:t>
                            </w:r>
                            <w:r w:rsidR="000F114C">
                              <w:t xml:space="preserve"> Convention on the Rights of the Child</w:t>
                            </w:r>
                          </w:p>
                          <w:p w14:paraId="21E5ED7B" w14:textId="77777777" w:rsidR="00B17FB0" w:rsidRPr="00A73C31" w:rsidRDefault="00B17FB0" w:rsidP="00B17FB0">
                            <w:pPr>
                              <w:pStyle w:val="Title3"/>
                              <w:spacing w:after="0" w:line="240" w:lineRule="auto"/>
                              <w:ind w:left="720" w:firstLine="0"/>
                            </w:pPr>
                          </w:p>
                          <w:p w14:paraId="5837A1DF" w14:textId="77777777" w:rsidR="005A66A4" w:rsidRPr="00A627DD" w:rsidRDefault="00BD2CD0" w:rsidP="003B3F7E">
                            <w:pPr>
                              <w:spacing w:after="0" w:line="240" w:lineRule="auto"/>
                              <w:ind w:left="0" w:firstLine="0"/>
                            </w:pPr>
                            <w:sdt>
                              <w:sdtPr>
                                <w:rPr>
                                  <w:rStyle w:val="Style6"/>
                                </w:rPr>
                                <w:alias w:val="Action/s"/>
                                <w:tag w:val="Action/s"/>
                                <w:id w:val="450136090"/>
                                <w:placeholder>
                                  <w:docPart w:val="116A86B4BA654E03A694D167A630844B"/>
                                </w:placeholder>
                              </w:sdtPr>
                              <w:sdtEndPr>
                                <w:rPr>
                                  <w:rStyle w:val="Style6"/>
                                </w:rPr>
                              </w:sdtEndPr>
                              <w:sdtContent>
                                <w:r w:rsidR="005A66A4" w:rsidRPr="00C803F3">
                                  <w:rPr>
                                    <w:rStyle w:val="Style6"/>
                                  </w:rPr>
                                  <w:t>Action/s</w:t>
                                </w:r>
                              </w:sdtContent>
                            </w:sdt>
                          </w:p>
                          <w:p w14:paraId="692F4753" w14:textId="77777777" w:rsidR="00786B49" w:rsidRDefault="005A66A4" w:rsidP="003B3F7E">
                            <w:pPr>
                              <w:pStyle w:val="Title3"/>
                              <w:spacing w:after="0" w:line="240" w:lineRule="auto"/>
                              <w:ind w:left="0" w:firstLine="0"/>
                            </w:pPr>
                            <w:r>
                              <w:t>Officers</w:t>
                            </w:r>
                            <w:r w:rsidR="00786B49">
                              <w:t xml:space="preserve"> will;</w:t>
                            </w:r>
                          </w:p>
                          <w:p w14:paraId="5991A2BD" w14:textId="20B40FA4" w:rsidR="00A5227A" w:rsidRDefault="00A5227A" w:rsidP="006A24B3">
                            <w:pPr>
                              <w:pStyle w:val="Title3"/>
                              <w:numPr>
                                <w:ilvl w:val="0"/>
                                <w:numId w:val="20"/>
                              </w:numPr>
                              <w:spacing w:after="0" w:line="240" w:lineRule="auto"/>
                            </w:pPr>
                            <w:r>
                              <w:t>undertake further research to know more about the children who are committing crime</w:t>
                            </w:r>
                            <w:r w:rsidR="00EC5FAC">
                              <w:t>s</w:t>
                            </w:r>
                          </w:p>
                          <w:p w14:paraId="6972998F" w14:textId="431D0321" w:rsidR="00786B49" w:rsidRDefault="00786B49" w:rsidP="006A24B3">
                            <w:pPr>
                              <w:pStyle w:val="Title3"/>
                              <w:numPr>
                                <w:ilvl w:val="0"/>
                                <w:numId w:val="20"/>
                              </w:numPr>
                              <w:spacing w:after="0" w:line="240" w:lineRule="auto"/>
                            </w:pPr>
                            <w:r>
                              <w:t>continue to build up an understanding of best practice in this area to share with both Government and local authorities</w:t>
                            </w:r>
                          </w:p>
                          <w:p w14:paraId="5837A1E0" w14:textId="2248055E" w:rsidR="005A66A4" w:rsidRPr="00B84F31" w:rsidRDefault="005A66A4" w:rsidP="006A24B3">
                            <w:pPr>
                              <w:pStyle w:val="Title3"/>
                              <w:numPr>
                                <w:ilvl w:val="0"/>
                                <w:numId w:val="20"/>
                              </w:numPr>
                            </w:pPr>
                            <w:r>
                              <w:t>use the LGA’s agreed position in future work with the Government.</w:t>
                            </w:r>
                          </w:p>
                          <w:p w14:paraId="5837A1E1" w14:textId="77777777" w:rsidR="005A66A4" w:rsidRDefault="005A6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0;margin-top:.4pt;width:507pt;height:1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0879D190" w14:textId="77777777" w:rsidR="00B17FB0" w:rsidRDefault="005A66A4" w:rsidP="003B3F7E">
                          <w:pPr>
                            <w:spacing w:after="0" w:line="240" w:lineRule="auto"/>
                            <w:ind w:left="0" w:firstLine="0"/>
                            <w:rPr>
                              <w:rStyle w:val="Style6"/>
                            </w:rPr>
                          </w:pPr>
                          <w:r w:rsidRPr="00C803F3">
                            <w:rPr>
                              <w:rStyle w:val="Style6"/>
                            </w:rPr>
                            <w:t>Recommendation/s</w:t>
                          </w:r>
                        </w:p>
                        <w:p w14:paraId="5837A1DD" w14:textId="13E6633D" w:rsidR="005A66A4" w:rsidRPr="00A627DD" w:rsidRDefault="00BD2CD0" w:rsidP="003B3F7E">
                          <w:pPr>
                            <w:spacing w:after="0" w:line="240" w:lineRule="auto"/>
                            <w:ind w:left="0" w:firstLine="0"/>
                          </w:pPr>
                        </w:p>
                      </w:sdtContent>
                    </w:sdt>
                    <w:p w14:paraId="0851D2F5" w14:textId="77777777" w:rsidR="00EC5FAC" w:rsidRDefault="00FD3CB2" w:rsidP="003B3F7E">
                      <w:pPr>
                        <w:pStyle w:val="Title3"/>
                        <w:spacing w:after="0" w:line="240" w:lineRule="auto"/>
                        <w:ind w:left="0" w:firstLine="0"/>
                      </w:pPr>
                      <w:r>
                        <w:t xml:space="preserve">Members are asked to consider whether </w:t>
                      </w:r>
                      <w:r w:rsidR="00EC5FAC">
                        <w:t>the LGA’s position is that:</w:t>
                      </w:r>
                    </w:p>
                    <w:p w14:paraId="2100BBF8" w14:textId="77777777" w:rsidR="00EC5FAC" w:rsidRDefault="00FD3CB2" w:rsidP="003B3F7E">
                      <w:pPr>
                        <w:pStyle w:val="Title3"/>
                        <w:numPr>
                          <w:ilvl w:val="0"/>
                          <w:numId w:val="17"/>
                        </w:numPr>
                        <w:spacing w:after="0" w:line="240" w:lineRule="auto"/>
                      </w:pPr>
                      <w:r>
                        <w:t>we should stay at the current age of Criminal Responsibility</w:t>
                      </w:r>
                    </w:p>
                    <w:p w14:paraId="00369D05" w14:textId="77777777" w:rsidR="00EC5FAC" w:rsidRDefault="0049084D" w:rsidP="003B3F7E">
                      <w:pPr>
                        <w:pStyle w:val="Title3"/>
                        <w:numPr>
                          <w:ilvl w:val="0"/>
                          <w:numId w:val="17"/>
                        </w:numPr>
                        <w:spacing w:after="0" w:line="240" w:lineRule="auto"/>
                      </w:pPr>
                      <w:r>
                        <w:t xml:space="preserve">increase the age to 12 in line with the Scottish Government or </w:t>
                      </w:r>
                    </w:p>
                    <w:p w14:paraId="5ED8A2CF" w14:textId="6B57C9CF" w:rsidR="00FD3CB2" w:rsidRDefault="0049084D" w:rsidP="003B3F7E">
                      <w:pPr>
                        <w:pStyle w:val="Title3"/>
                        <w:numPr>
                          <w:ilvl w:val="0"/>
                          <w:numId w:val="17"/>
                        </w:numPr>
                        <w:spacing w:after="0" w:line="240" w:lineRule="auto"/>
                      </w:pPr>
                      <w:r>
                        <w:t>increase to 14, in line with the European average and the recommendations from the UN</w:t>
                      </w:r>
                      <w:r w:rsidR="000F114C">
                        <w:t xml:space="preserve"> Convention on the Rights of the Child</w:t>
                      </w:r>
                    </w:p>
                    <w:p w14:paraId="21E5ED7B" w14:textId="77777777" w:rsidR="00B17FB0" w:rsidRPr="00A73C31" w:rsidRDefault="00B17FB0" w:rsidP="00B17FB0">
                      <w:pPr>
                        <w:pStyle w:val="Title3"/>
                        <w:spacing w:after="0" w:line="240" w:lineRule="auto"/>
                        <w:ind w:left="720" w:firstLine="0"/>
                      </w:pPr>
                    </w:p>
                    <w:p w14:paraId="5837A1DF" w14:textId="77777777" w:rsidR="005A66A4" w:rsidRPr="00A627DD" w:rsidRDefault="00BD2CD0" w:rsidP="003B3F7E">
                      <w:pPr>
                        <w:spacing w:after="0" w:line="240" w:lineRule="auto"/>
                        <w:ind w:left="0" w:firstLine="0"/>
                      </w:pPr>
                      <w:sdt>
                        <w:sdtPr>
                          <w:rPr>
                            <w:rStyle w:val="Style6"/>
                          </w:rPr>
                          <w:alias w:val="Action/s"/>
                          <w:tag w:val="Action/s"/>
                          <w:id w:val="450136090"/>
                          <w:placeholder>
                            <w:docPart w:val="116A86B4BA654E03A694D167A630844B"/>
                          </w:placeholder>
                        </w:sdtPr>
                        <w:sdtEndPr>
                          <w:rPr>
                            <w:rStyle w:val="Style6"/>
                          </w:rPr>
                        </w:sdtEndPr>
                        <w:sdtContent>
                          <w:r w:rsidR="005A66A4" w:rsidRPr="00C803F3">
                            <w:rPr>
                              <w:rStyle w:val="Style6"/>
                            </w:rPr>
                            <w:t>Action/s</w:t>
                          </w:r>
                        </w:sdtContent>
                      </w:sdt>
                    </w:p>
                    <w:p w14:paraId="692F4753" w14:textId="77777777" w:rsidR="00786B49" w:rsidRDefault="005A66A4" w:rsidP="003B3F7E">
                      <w:pPr>
                        <w:pStyle w:val="Title3"/>
                        <w:spacing w:after="0" w:line="240" w:lineRule="auto"/>
                        <w:ind w:left="0" w:firstLine="0"/>
                      </w:pPr>
                      <w:r>
                        <w:t>Officers</w:t>
                      </w:r>
                      <w:r w:rsidR="00786B49">
                        <w:t xml:space="preserve"> will;</w:t>
                      </w:r>
                    </w:p>
                    <w:p w14:paraId="5991A2BD" w14:textId="20B40FA4" w:rsidR="00A5227A" w:rsidRDefault="00A5227A" w:rsidP="006A24B3">
                      <w:pPr>
                        <w:pStyle w:val="Title3"/>
                        <w:numPr>
                          <w:ilvl w:val="0"/>
                          <w:numId w:val="20"/>
                        </w:numPr>
                        <w:spacing w:after="0" w:line="240" w:lineRule="auto"/>
                      </w:pPr>
                      <w:r>
                        <w:t>undertake further research to know more about the children who are committing crime</w:t>
                      </w:r>
                      <w:r w:rsidR="00EC5FAC">
                        <w:t>s</w:t>
                      </w:r>
                    </w:p>
                    <w:p w14:paraId="6972998F" w14:textId="431D0321" w:rsidR="00786B49" w:rsidRDefault="00786B49" w:rsidP="006A24B3">
                      <w:pPr>
                        <w:pStyle w:val="Title3"/>
                        <w:numPr>
                          <w:ilvl w:val="0"/>
                          <w:numId w:val="20"/>
                        </w:numPr>
                        <w:spacing w:after="0" w:line="240" w:lineRule="auto"/>
                      </w:pPr>
                      <w:r>
                        <w:t>continue to build up an understanding of best practice in this area to share with both Government and local authorities</w:t>
                      </w:r>
                    </w:p>
                    <w:p w14:paraId="5837A1E0" w14:textId="2248055E" w:rsidR="005A66A4" w:rsidRPr="00B84F31" w:rsidRDefault="005A66A4" w:rsidP="006A24B3">
                      <w:pPr>
                        <w:pStyle w:val="Title3"/>
                        <w:numPr>
                          <w:ilvl w:val="0"/>
                          <w:numId w:val="20"/>
                        </w:numPr>
                      </w:pPr>
                      <w:r>
                        <w:t>use the LGA’s agreed position in future work with the Government.</w:t>
                      </w:r>
                    </w:p>
                    <w:p w14:paraId="5837A1E1" w14:textId="77777777" w:rsidR="005A66A4" w:rsidRDefault="005A66A4"/>
                  </w:txbxContent>
                </v:textbox>
                <w10:wrap anchorx="margin"/>
              </v:shape>
            </w:pict>
          </mc:Fallback>
        </mc:AlternateContent>
      </w:r>
    </w:p>
    <w:p w14:paraId="5837A19E" w14:textId="76086641"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8" w14:textId="11B98177" w:rsidR="009B6F95" w:rsidRPr="00C803F3" w:rsidRDefault="00BD2CD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866D5">
            <w:t>Flora Wilkie</w:t>
          </w:r>
        </w:sdtContent>
      </w:sdt>
    </w:p>
    <w:p w14:paraId="5837A1A9" w14:textId="14A86A81" w:rsidR="009B6F95" w:rsidRDefault="00BD2CD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73C31">
            <w:t>Adviser – Children and Young People</w:t>
          </w:r>
        </w:sdtContent>
      </w:sdt>
    </w:p>
    <w:p w14:paraId="5837A1AB" w14:textId="0BAACEFC" w:rsidR="009B6F95" w:rsidRDefault="00BD2CD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866D5">
            <w:t>flora.wilkie</w:t>
          </w:r>
          <w:r w:rsidR="009B6F95" w:rsidRPr="00C803F3">
            <w:t>@local.gov.uk</w:t>
          </w:r>
        </w:sdtContent>
      </w:sdt>
    </w:p>
    <w:p w14:paraId="5837A1AC" w14:textId="77777777" w:rsidR="009B6F95" w:rsidRPr="00E8118A" w:rsidRDefault="009B6F95" w:rsidP="00B84F31">
      <w:pPr>
        <w:pStyle w:val="Title3"/>
      </w:pPr>
    </w:p>
    <w:p w14:paraId="5837A1AE" w14:textId="77777777" w:rsidR="009B6F95" w:rsidRPr="00C803F3" w:rsidRDefault="009B6F95"/>
    <w:p w14:paraId="20586E26" w14:textId="77777777" w:rsidR="009B6F95" w:rsidRPr="00C803F3" w:rsidRDefault="009B6F95"/>
    <w:p w14:paraId="02A3040E" w14:textId="77777777" w:rsidR="009A08B4" w:rsidRDefault="009A08B4" w:rsidP="000F69FB">
      <w:pPr>
        <w:pStyle w:val="Title1"/>
      </w:pPr>
    </w:p>
    <w:p w14:paraId="5837A1B3" w14:textId="3BF97E33" w:rsidR="00C803F3" w:rsidRDefault="009541C9" w:rsidP="000F69FB">
      <w:pPr>
        <w:pStyle w:val="Title1"/>
      </w:pPr>
      <w:r>
        <w:lastRenderedPageBreak/>
        <w:t xml:space="preserve">Raising the </w:t>
      </w:r>
      <w:r w:rsidR="00BD2CD0">
        <w:t>Age of Criminal Responsibility</w:t>
      </w:r>
      <w:bookmarkStart w:id="0" w:name="_GoBack"/>
      <w:bookmarkEnd w:id="0"/>
    </w:p>
    <w:sdt>
      <w:sdtPr>
        <w:rPr>
          <w:rStyle w:val="Style6"/>
        </w:rPr>
        <w:alias w:val="Background"/>
        <w:tag w:val="Background"/>
        <w:id w:val="-1335600510"/>
        <w:placeholder>
          <w:docPart w:val="1444C70DB0544F7FA5791133FDBCBD91"/>
        </w:placeholder>
      </w:sdtPr>
      <w:sdtEndPr>
        <w:rPr>
          <w:rStyle w:val="Style6"/>
        </w:rPr>
      </w:sdtEndPr>
      <w:sdtContent>
        <w:p w14:paraId="75B449A8" w14:textId="77777777" w:rsidR="00746B2F" w:rsidRDefault="009B6F95" w:rsidP="00746B2F">
          <w:pPr>
            <w:spacing w:after="0" w:line="240" w:lineRule="auto"/>
            <w:rPr>
              <w:rStyle w:val="Style6"/>
            </w:rPr>
          </w:pPr>
          <w:r w:rsidRPr="00301A51">
            <w:rPr>
              <w:rStyle w:val="Style6"/>
            </w:rPr>
            <w:t>Background</w:t>
          </w:r>
        </w:p>
        <w:p w14:paraId="5837A1B4" w14:textId="74A84036" w:rsidR="009B6F95" w:rsidRPr="00C803F3" w:rsidRDefault="00BD2CD0" w:rsidP="00746B2F">
          <w:pPr>
            <w:spacing w:after="0" w:line="240" w:lineRule="auto"/>
            <w:rPr>
              <w:rStyle w:val="ReportTemplate"/>
            </w:rPr>
          </w:pPr>
        </w:p>
      </w:sdtContent>
    </w:sdt>
    <w:p w14:paraId="0EB117AF" w14:textId="682AF7CB" w:rsidR="00745560" w:rsidRDefault="00746B2F" w:rsidP="00746B2F">
      <w:pPr>
        <w:pStyle w:val="ListParagraph"/>
        <w:spacing w:after="0" w:line="240" w:lineRule="auto"/>
      </w:pPr>
      <w:r>
        <w:t>I</w:t>
      </w:r>
      <w:r w:rsidR="000C6C82">
        <w:t xml:space="preserve">n </w:t>
      </w:r>
      <w:r w:rsidR="003B3F7E">
        <w:t>January 2020</w:t>
      </w:r>
      <w:r w:rsidR="000C6C82">
        <w:t xml:space="preserve"> </w:t>
      </w:r>
      <w:r>
        <w:t>the Board discussed whether they</w:t>
      </w:r>
      <w:r w:rsidR="000C6C82">
        <w:t xml:space="preserve"> wished the LGA to support calls to raise the Age of Criminal Responsibility (ACR)</w:t>
      </w:r>
      <w:r w:rsidR="00745560">
        <w:t>.</w:t>
      </w:r>
    </w:p>
    <w:p w14:paraId="31B711C1" w14:textId="77777777" w:rsidR="00745560" w:rsidRDefault="00745560" w:rsidP="00746B2F">
      <w:pPr>
        <w:pStyle w:val="ListParagraph"/>
        <w:numPr>
          <w:ilvl w:val="0"/>
          <w:numId w:val="0"/>
        </w:numPr>
        <w:spacing w:after="0" w:line="240" w:lineRule="auto"/>
        <w:ind w:left="360"/>
      </w:pPr>
    </w:p>
    <w:p w14:paraId="66B9129A" w14:textId="49243FD1" w:rsidR="00745560" w:rsidRDefault="00745560" w:rsidP="00746B2F">
      <w:pPr>
        <w:pStyle w:val="ListParagraph"/>
        <w:spacing w:after="0" w:line="240" w:lineRule="auto"/>
      </w:pPr>
      <w:r>
        <w:t xml:space="preserve">The age of criminal responsibility (ACR) refers to the minimum age that a child can be prosecuted and punished by law for an offence. In England, Wales and Northern Ireland, this is 10. In Scotland, the </w:t>
      </w:r>
      <w:r w:rsidRPr="00EB7F18">
        <w:t>Age of Criminal Responsibility (Scotland) Act 2019</w:t>
      </w:r>
      <w:r>
        <w:t xml:space="preserve"> raised the ACR from 8 to 12.</w:t>
      </w:r>
    </w:p>
    <w:p w14:paraId="71B808BA" w14:textId="650B9CF2" w:rsidR="000C6C82" w:rsidRDefault="000C6C82" w:rsidP="00746B2F">
      <w:pPr>
        <w:pStyle w:val="ListParagraph"/>
        <w:numPr>
          <w:ilvl w:val="0"/>
          <w:numId w:val="0"/>
        </w:numPr>
        <w:spacing w:after="0" w:line="240" w:lineRule="auto"/>
        <w:ind w:left="360"/>
      </w:pPr>
    </w:p>
    <w:p w14:paraId="45CB9B32" w14:textId="3F173B7E" w:rsidR="00C463DA" w:rsidRPr="00464652" w:rsidRDefault="000C6C82" w:rsidP="00746B2F">
      <w:pPr>
        <w:pStyle w:val="ListParagraph"/>
        <w:spacing w:after="0" w:line="240" w:lineRule="auto"/>
      </w:pPr>
      <w:r>
        <w:t>Although being broadly supportive</w:t>
      </w:r>
      <w:r w:rsidR="00745560">
        <w:t xml:space="preserve"> of raising the minimum age</w:t>
      </w:r>
      <w:r>
        <w:t xml:space="preserve">, the Board requested further information and research before coming to a final position. </w:t>
      </w:r>
      <w:r w:rsidR="00745560">
        <w:t>O</w:t>
      </w:r>
      <w:r w:rsidR="003B3F7E">
        <w:t>fficers</w:t>
      </w:r>
      <w:r w:rsidR="00786B49">
        <w:t xml:space="preserve"> </w:t>
      </w:r>
      <w:r w:rsidR="003B3F7E">
        <w:t>carried out further research and facilitated</w:t>
      </w:r>
      <w:r w:rsidR="00786B49">
        <w:t xml:space="preserve"> a roundtable of practitioners and experts to understand their experiences working with children who commit crime both below and above the age of criminal responsibility. </w:t>
      </w:r>
      <w:r w:rsidR="00C463DA">
        <w:t xml:space="preserve">This paper </w:t>
      </w:r>
      <w:r w:rsidR="003B3F7E">
        <w:t>collates further information gathered and asks members of the Board</w:t>
      </w:r>
      <w:r w:rsidR="002752AB">
        <w:t xml:space="preserve"> wh</w:t>
      </w:r>
      <w:r w:rsidR="009541C9">
        <w:t xml:space="preserve">ether </w:t>
      </w:r>
      <w:r w:rsidR="00F00C03">
        <w:t>the LGA</w:t>
      </w:r>
      <w:r w:rsidR="009541C9">
        <w:t xml:space="preserve"> wishes to support</w:t>
      </w:r>
      <w:r w:rsidR="00B3174D">
        <w:t xml:space="preserve"> calls to</w:t>
      </w:r>
      <w:r w:rsidR="00F00C03">
        <w:t xml:space="preserve"> rais</w:t>
      </w:r>
      <w:r w:rsidR="00B3174D">
        <w:t>e</w:t>
      </w:r>
      <w:r w:rsidR="00F00C03">
        <w:t xml:space="preserve"> the ACR</w:t>
      </w:r>
      <w:r w:rsidR="00A24071">
        <w:t xml:space="preserve"> and </w:t>
      </w:r>
      <w:r w:rsidR="003B3F7E">
        <w:t>agrees to undertaking</w:t>
      </w:r>
      <w:r w:rsidR="00A24071">
        <w:t xml:space="preserve"> further work </w:t>
      </w:r>
      <w:r w:rsidR="003B3F7E">
        <w:t>in this area</w:t>
      </w:r>
      <w:r w:rsidR="00F00C03">
        <w:t>.</w:t>
      </w:r>
    </w:p>
    <w:p w14:paraId="2F86D902" w14:textId="77777777" w:rsidR="00464652" w:rsidRPr="00464652" w:rsidRDefault="00464652" w:rsidP="00746B2F">
      <w:pPr>
        <w:pStyle w:val="ListParagraph"/>
        <w:numPr>
          <w:ilvl w:val="0"/>
          <w:numId w:val="0"/>
        </w:numPr>
        <w:spacing w:after="0" w:line="240" w:lineRule="auto"/>
        <w:ind w:left="360"/>
      </w:pPr>
    </w:p>
    <w:sdt>
      <w:sdtPr>
        <w:rPr>
          <w:rStyle w:val="Style6"/>
        </w:rPr>
        <w:alias w:val="Issues"/>
        <w:tag w:val="Issues"/>
        <w:id w:val="-1684430981"/>
        <w:placeholder>
          <w:docPart w:val="1444C70DB0544F7FA5791133FDBCBD91"/>
        </w:placeholder>
      </w:sdtPr>
      <w:sdtEndPr>
        <w:rPr>
          <w:rStyle w:val="Style6"/>
        </w:rPr>
      </w:sdtEndPr>
      <w:sdtContent>
        <w:p w14:paraId="60704F40" w14:textId="77777777" w:rsidR="00746B2F" w:rsidRDefault="00614D8E" w:rsidP="00746B2F">
          <w:pPr>
            <w:spacing w:after="0" w:line="240" w:lineRule="auto"/>
            <w:ind w:left="0" w:firstLine="0"/>
            <w:rPr>
              <w:rStyle w:val="Style6"/>
            </w:rPr>
          </w:pPr>
          <w:r>
            <w:rPr>
              <w:rStyle w:val="Style6"/>
            </w:rPr>
            <w:t>Policy Context</w:t>
          </w:r>
        </w:p>
        <w:p w14:paraId="5837A1B7" w14:textId="79522C09" w:rsidR="009B6F95" w:rsidRPr="00C803F3" w:rsidRDefault="00BD2CD0" w:rsidP="00746B2F">
          <w:pPr>
            <w:spacing w:after="0" w:line="240" w:lineRule="auto"/>
            <w:ind w:left="0" w:firstLine="0"/>
            <w:rPr>
              <w:rStyle w:val="ReportTemplate"/>
            </w:rPr>
          </w:pPr>
        </w:p>
      </w:sdtContent>
    </w:sdt>
    <w:p w14:paraId="1C28CD90" w14:textId="64C126F2" w:rsidR="00782445" w:rsidRDefault="00782445" w:rsidP="00746B2F">
      <w:pPr>
        <w:pStyle w:val="ListParagraph"/>
        <w:spacing w:after="0" w:line="240" w:lineRule="auto"/>
        <w:rPr>
          <w:rStyle w:val="ReportTemplate"/>
        </w:rPr>
      </w:pPr>
      <w:r w:rsidRPr="00782445">
        <w:rPr>
          <w:rStyle w:val="ReportTemplate"/>
        </w:rPr>
        <w:t>The United Nations Convention on the Rights of the Child</w:t>
      </w:r>
      <w:r w:rsidR="00B37D32">
        <w:rPr>
          <w:rStyle w:val="ReportTemplate"/>
        </w:rPr>
        <w:t>, which was ratified by the UK government in 1991,</w:t>
      </w:r>
      <w:r w:rsidRPr="00782445">
        <w:rPr>
          <w:rStyle w:val="ReportTemplate"/>
        </w:rPr>
        <w:t xml:space="preserve"> calls upon states parties to establish a minimum age "below which children shall be presumed not to have the capacity to infringe the penal law". The UN Committee on the Rights of the Child recommend</w:t>
      </w:r>
      <w:r w:rsidR="00890C1E">
        <w:rPr>
          <w:rStyle w:val="ReportTemplate"/>
        </w:rPr>
        <w:t>ed in 2007 that</w:t>
      </w:r>
      <w:r w:rsidRPr="00782445">
        <w:rPr>
          <w:rStyle w:val="ReportTemplate"/>
        </w:rPr>
        <w:t xml:space="preserve"> states set this minimum age at 12 or higher</w:t>
      </w:r>
      <w:r w:rsidR="00AC48F3">
        <w:rPr>
          <w:rStyle w:val="EndnoteReference"/>
        </w:rPr>
        <w:endnoteReference w:id="1"/>
      </w:r>
      <w:r w:rsidR="00890C1E">
        <w:rPr>
          <w:rStyle w:val="ReportTemplate"/>
        </w:rPr>
        <w:t xml:space="preserve">; in 2019, </w:t>
      </w:r>
      <w:r w:rsidR="003B3F7E">
        <w:rPr>
          <w:rStyle w:val="ReportTemplate"/>
        </w:rPr>
        <w:t xml:space="preserve">it </w:t>
      </w:r>
      <w:r w:rsidR="00890C1E">
        <w:rPr>
          <w:rStyle w:val="ReportTemplate"/>
        </w:rPr>
        <w:t>revis</w:t>
      </w:r>
      <w:r w:rsidR="0049084D">
        <w:rPr>
          <w:rStyle w:val="ReportTemplate"/>
        </w:rPr>
        <w:t>ed</w:t>
      </w:r>
      <w:r w:rsidR="00890C1E">
        <w:rPr>
          <w:rStyle w:val="ReportTemplate"/>
        </w:rPr>
        <w:t xml:space="preserve"> this to a minimum age of</w:t>
      </w:r>
      <w:r w:rsidR="00F65944">
        <w:rPr>
          <w:rStyle w:val="ReportTemplate"/>
        </w:rPr>
        <w:t xml:space="preserve"> at least</w:t>
      </w:r>
      <w:r w:rsidR="00890C1E">
        <w:rPr>
          <w:rStyle w:val="ReportTemplate"/>
        </w:rPr>
        <w:t xml:space="preserve"> </w:t>
      </w:r>
      <w:r w:rsidR="003A55BD">
        <w:rPr>
          <w:rStyle w:val="ReportTemplate"/>
        </w:rPr>
        <w:t>14.</w:t>
      </w:r>
      <w:r w:rsidR="007838C6">
        <w:rPr>
          <w:rStyle w:val="EndnoteReference"/>
        </w:rPr>
        <w:endnoteReference w:id="2"/>
      </w:r>
    </w:p>
    <w:p w14:paraId="5ACB9F70" w14:textId="77777777" w:rsidR="00EE4B01" w:rsidRDefault="00EE4B01" w:rsidP="00746B2F">
      <w:pPr>
        <w:pStyle w:val="ListParagraph"/>
        <w:numPr>
          <w:ilvl w:val="0"/>
          <w:numId w:val="0"/>
        </w:numPr>
        <w:spacing w:after="0" w:line="240" w:lineRule="auto"/>
        <w:ind w:left="360"/>
        <w:rPr>
          <w:rStyle w:val="ReportTemplate"/>
        </w:rPr>
      </w:pPr>
    </w:p>
    <w:p w14:paraId="01700EFC" w14:textId="010D6B3D" w:rsidR="009A08B4" w:rsidRDefault="004A5056" w:rsidP="009A08B4">
      <w:pPr>
        <w:pStyle w:val="ListParagraph"/>
        <w:spacing w:after="0" w:line="240" w:lineRule="auto"/>
        <w:rPr>
          <w:rStyle w:val="ReportTemplate"/>
        </w:rPr>
      </w:pPr>
      <w:r>
        <w:rPr>
          <w:rStyle w:val="ReportTemplate"/>
        </w:rPr>
        <w:t xml:space="preserve">England </w:t>
      </w:r>
      <w:r w:rsidR="00EE4B01">
        <w:rPr>
          <w:rStyle w:val="ReportTemplate"/>
        </w:rPr>
        <w:t xml:space="preserve">currently </w:t>
      </w:r>
      <w:r>
        <w:rPr>
          <w:rStyle w:val="ReportTemplate"/>
        </w:rPr>
        <w:t>has one of the lowest ACRs in the world</w:t>
      </w:r>
      <w:r w:rsidR="00EE4B01">
        <w:rPr>
          <w:rStyle w:val="ReportTemplate"/>
        </w:rPr>
        <w:t>:</w:t>
      </w:r>
    </w:p>
    <w:p w14:paraId="055AA4C7" w14:textId="77777777" w:rsidR="009A08B4" w:rsidRDefault="009A08B4" w:rsidP="009A08B4">
      <w:pPr>
        <w:pStyle w:val="ListParagraph"/>
        <w:numPr>
          <w:ilvl w:val="0"/>
          <w:numId w:val="0"/>
        </w:numPr>
        <w:spacing w:after="0" w:line="240" w:lineRule="auto"/>
        <w:ind w:left="360"/>
        <w:rPr>
          <w:rStyle w:val="ReportTemplate"/>
        </w:rPr>
      </w:pPr>
    </w:p>
    <w:tbl>
      <w:tblPr>
        <w:tblStyle w:val="TableGrid"/>
        <w:tblW w:w="0" w:type="auto"/>
        <w:tblInd w:w="717" w:type="dxa"/>
        <w:tblLook w:val="04A0" w:firstRow="1" w:lastRow="0" w:firstColumn="1" w:lastColumn="0" w:noHBand="0" w:noVBand="1"/>
      </w:tblPr>
      <w:tblGrid>
        <w:gridCol w:w="2113"/>
        <w:gridCol w:w="6186"/>
      </w:tblGrid>
      <w:tr w:rsidR="00EE4B01" w14:paraId="6383C1CB" w14:textId="77777777" w:rsidTr="001672CD">
        <w:tc>
          <w:tcPr>
            <w:tcW w:w="2113" w:type="dxa"/>
            <w:shd w:val="clear" w:color="auto" w:fill="FBE4D5" w:themeFill="accent2" w:themeFillTint="33"/>
          </w:tcPr>
          <w:p w14:paraId="05E77ADF" w14:textId="240E603C" w:rsidR="00EE4B01" w:rsidRDefault="00EE4B01" w:rsidP="00EE4B01">
            <w:pPr>
              <w:ind w:left="0" w:firstLine="0"/>
              <w:rPr>
                <w:rStyle w:val="ReportTemplate"/>
              </w:rPr>
            </w:pPr>
            <w:r>
              <w:rPr>
                <w:rStyle w:val="ReportTemplate"/>
              </w:rPr>
              <w:t>Country</w:t>
            </w:r>
          </w:p>
        </w:tc>
        <w:tc>
          <w:tcPr>
            <w:tcW w:w="6186" w:type="dxa"/>
            <w:shd w:val="clear" w:color="auto" w:fill="FBE4D5" w:themeFill="accent2" w:themeFillTint="33"/>
          </w:tcPr>
          <w:p w14:paraId="1C61804D" w14:textId="5C990861" w:rsidR="00EE4B01" w:rsidRDefault="00EE4B01" w:rsidP="00EE4B01">
            <w:pPr>
              <w:ind w:left="0" w:firstLine="0"/>
              <w:rPr>
                <w:rStyle w:val="ReportTemplate"/>
              </w:rPr>
            </w:pPr>
            <w:r>
              <w:rPr>
                <w:rStyle w:val="ReportTemplate"/>
              </w:rPr>
              <w:t>Age of Criminal Responsibility</w:t>
            </w:r>
          </w:p>
        </w:tc>
      </w:tr>
      <w:tr w:rsidR="005817E6" w14:paraId="3E713466" w14:textId="77777777" w:rsidTr="001672CD">
        <w:tc>
          <w:tcPr>
            <w:tcW w:w="2113" w:type="dxa"/>
          </w:tcPr>
          <w:p w14:paraId="5ACF0BB4" w14:textId="3BD2C9B4" w:rsidR="005817E6" w:rsidRDefault="005817E6" w:rsidP="00EE4B01">
            <w:pPr>
              <w:ind w:left="0" w:firstLine="0"/>
              <w:rPr>
                <w:rStyle w:val="ReportTemplate"/>
              </w:rPr>
            </w:pPr>
            <w:r>
              <w:rPr>
                <w:rStyle w:val="ReportTemplate"/>
              </w:rPr>
              <w:t>Ireland</w:t>
            </w:r>
          </w:p>
        </w:tc>
        <w:tc>
          <w:tcPr>
            <w:tcW w:w="6186" w:type="dxa"/>
          </w:tcPr>
          <w:p w14:paraId="5400D17B" w14:textId="3FF91056" w:rsidR="005817E6" w:rsidRDefault="005817E6" w:rsidP="00EE4B01">
            <w:pPr>
              <w:ind w:left="0" w:firstLine="0"/>
              <w:rPr>
                <w:rStyle w:val="ReportTemplate"/>
              </w:rPr>
            </w:pPr>
            <w:r>
              <w:rPr>
                <w:rStyle w:val="ReportTemplate"/>
              </w:rPr>
              <w:t>12</w:t>
            </w:r>
            <w:r w:rsidRPr="005817E6">
              <w:rPr>
                <w:rStyle w:val="ReportTemplate"/>
              </w:rPr>
              <w:t xml:space="preserve"> </w:t>
            </w:r>
            <w:r>
              <w:rPr>
                <w:rStyle w:val="ReportTemplate"/>
              </w:rPr>
              <w:t>(though</w:t>
            </w:r>
            <w:r w:rsidRPr="005817E6">
              <w:rPr>
                <w:rStyle w:val="ReportTemplate"/>
              </w:rPr>
              <w:t xml:space="preserve"> children aged 10 or 11 can be held criminally liable</w:t>
            </w:r>
            <w:r>
              <w:rPr>
                <w:rStyle w:val="ReportTemplate"/>
              </w:rPr>
              <w:t xml:space="preserve"> for very serious crimes including murder</w:t>
            </w:r>
            <w:r w:rsidR="00BD50CE">
              <w:rPr>
                <w:rStyle w:val="ReportTemplate"/>
              </w:rPr>
              <w:t xml:space="preserve"> and rape)</w:t>
            </w:r>
          </w:p>
        </w:tc>
      </w:tr>
      <w:tr w:rsidR="00EE4B01" w14:paraId="7CD4F29A" w14:textId="77777777" w:rsidTr="001672CD">
        <w:tc>
          <w:tcPr>
            <w:tcW w:w="2113" w:type="dxa"/>
          </w:tcPr>
          <w:p w14:paraId="50AE6EF3" w14:textId="10556C3E" w:rsidR="00EE4B01" w:rsidRDefault="00E55AC9" w:rsidP="00EE4B01">
            <w:pPr>
              <w:ind w:left="0" w:firstLine="0"/>
              <w:rPr>
                <w:rStyle w:val="ReportTemplate"/>
              </w:rPr>
            </w:pPr>
            <w:r>
              <w:rPr>
                <w:rStyle w:val="ReportTemplate"/>
              </w:rPr>
              <w:t>Germany</w:t>
            </w:r>
          </w:p>
        </w:tc>
        <w:tc>
          <w:tcPr>
            <w:tcW w:w="6186" w:type="dxa"/>
          </w:tcPr>
          <w:p w14:paraId="4EE330D3" w14:textId="77FAC70F" w:rsidR="00EE4B01" w:rsidRDefault="00E55AC9" w:rsidP="00EE4B01">
            <w:pPr>
              <w:ind w:left="0" w:firstLine="0"/>
              <w:rPr>
                <w:rStyle w:val="ReportTemplate"/>
              </w:rPr>
            </w:pPr>
            <w:r>
              <w:rPr>
                <w:rStyle w:val="ReportTemplate"/>
              </w:rPr>
              <w:t>14</w:t>
            </w:r>
            <w:r w:rsidR="00025BDD">
              <w:rPr>
                <w:rStyle w:val="ReportTemplate"/>
              </w:rPr>
              <w:t xml:space="preserve"> (if </w:t>
            </w:r>
            <w:r w:rsidR="00AC56C2">
              <w:rPr>
                <w:rStyle w:val="ReportTemplate"/>
              </w:rPr>
              <w:t>‘</w:t>
            </w:r>
            <w:r w:rsidR="00AC56C2" w:rsidRPr="00AC56C2">
              <w:rPr>
                <w:rStyle w:val="ReportTemplate"/>
              </w:rPr>
              <w:t>morally and mentally mature</w:t>
            </w:r>
            <w:r w:rsidR="00AC56C2">
              <w:rPr>
                <w:rStyle w:val="ReportTemplate"/>
              </w:rPr>
              <w:t>’</w:t>
            </w:r>
            <w:r w:rsidR="00AC56C2" w:rsidRPr="00AC56C2">
              <w:rPr>
                <w:rStyle w:val="ReportTemplate"/>
              </w:rPr>
              <w:t xml:space="preserve"> when the offence took place</w:t>
            </w:r>
            <w:r w:rsidR="00AC56C2">
              <w:rPr>
                <w:rStyle w:val="ReportTemplate"/>
              </w:rPr>
              <w:t>)</w:t>
            </w:r>
          </w:p>
        </w:tc>
      </w:tr>
      <w:tr w:rsidR="00EE4B01" w14:paraId="6113614E" w14:textId="77777777" w:rsidTr="001672CD">
        <w:tc>
          <w:tcPr>
            <w:tcW w:w="2113" w:type="dxa"/>
          </w:tcPr>
          <w:p w14:paraId="106C09FD" w14:textId="210BE040" w:rsidR="00EE4B01" w:rsidRDefault="00AC340B" w:rsidP="00EE4B01">
            <w:pPr>
              <w:ind w:left="0" w:firstLine="0"/>
              <w:rPr>
                <w:rStyle w:val="ReportTemplate"/>
              </w:rPr>
            </w:pPr>
            <w:r>
              <w:rPr>
                <w:rStyle w:val="ReportTemplate"/>
              </w:rPr>
              <w:t>Sweden</w:t>
            </w:r>
          </w:p>
        </w:tc>
        <w:tc>
          <w:tcPr>
            <w:tcW w:w="6186" w:type="dxa"/>
          </w:tcPr>
          <w:p w14:paraId="1BC7F51F" w14:textId="29AFC47F" w:rsidR="00EE4B01" w:rsidRDefault="00AC340B" w:rsidP="00EE4B01">
            <w:pPr>
              <w:ind w:left="0" w:firstLine="0"/>
              <w:rPr>
                <w:rStyle w:val="ReportTemplate"/>
              </w:rPr>
            </w:pPr>
            <w:r>
              <w:rPr>
                <w:rStyle w:val="ReportTemplate"/>
              </w:rPr>
              <w:t>15</w:t>
            </w:r>
          </w:p>
        </w:tc>
      </w:tr>
      <w:tr w:rsidR="00EE4B01" w14:paraId="798C48C5" w14:textId="77777777" w:rsidTr="001672CD">
        <w:tc>
          <w:tcPr>
            <w:tcW w:w="2113" w:type="dxa"/>
          </w:tcPr>
          <w:p w14:paraId="3F88CC45" w14:textId="318BBE15" w:rsidR="00EE4B01" w:rsidRDefault="001E269C" w:rsidP="00EE4B01">
            <w:pPr>
              <w:ind w:left="0" w:firstLine="0"/>
              <w:rPr>
                <w:rStyle w:val="ReportTemplate"/>
              </w:rPr>
            </w:pPr>
            <w:r>
              <w:rPr>
                <w:rStyle w:val="ReportTemplate"/>
              </w:rPr>
              <w:t>Italy</w:t>
            </w:r>
          </w:p>
        </w:tc>
        <w:tc>
          <w:tcPr>
            <w:tcW w:w="6186" w:type="dxa"/>
          </w:tcPr>
          <w:p w14:paraId="7E115239" w14:textId="3978F623" w:rsidR="00EE4B01" w:rsidRDefault="001E269C" w:rsidP="00EE4B01">
            <w:pPr>
              <w:ind w:left="0" w:firstLine="0"/>
              <w:rPr>
                <w:rStyle w:val="ReportTemplate"/>
              </w:rPr>
            </w:pPr>
            <w:r>
              <w:rPr>
                <w:rStyle w:val="ReportTemplate"/>
              </w:rPr>
              <w:t>14</w:t>
            </w:r>
            <w:r w:rsidR="005C589C">
              <w:rPr>
                <w:rStyle w:val="ReportTemplate"/>
              </w:rPr>
              <w:t xml:space="preserve"> (</w:t>
            </w:r>
            <w:r w:rsidR="005C589C" w:rsidRPr="005C589C">
              <w:rPr>
                <w:rStyle w:val="ReportTemplate"/>
              </w:rPr>
              <w:t>persons aged 14 to 17 (inclusive) can only be held criminally liable where they have been judged capable of forming the necessary criminal intent in relation to the specific offence</w:t>
            </w:r>
            <w:r w:rsidR="005C589C">
              <w:rPr>
                <w:rStyle w:val="ReportTemplate"/>
              </w:rPr>
              <w:t>)</w:t>
            </w:r>
          </w:p>
        </w:tc>
      </w:tr>
      <w:tr w:rsidR="00EE4B01" w14:paraId="184A7511" w14:textId="77777777" w:rsidTr="001672CD">
        <w:tc>
          <w:tcPr>
            <w:tcW w:w="2113" w:type="dxa"/>
          </w:tcPr>
          <w:p w14:paraId="15D09558" w14:textId="006B8DA5" w:rsidR="00EE4B01" w:rsidRDefault="001B3D81" w:rsidP="00EE4B01">
            <w:pPr>
              <w:ind w:left="0" w:firstLine="0"/>
              <w:rPr>
                <w:rStyle w:val="ReportTemplate"/>
              </w:rPr>
            </w:pPr>
            <w:r>
              <w:rPr>
                <w:rStyle w:val="ReportTemplate"/>
              </w:rPr>
              <w:t>Japan</w:t>
            </w:r>
          </w:p>
        </w:tc>
        <w:tc>
          <w:tcPr>
            <w:tcW w:w="6186" w:type="dxa"/>
          </w:tcPr>
          <w:p w14:paraId="7DFE1A78" w14:textId="71CD86CE" w:rsidR="00EE4B01" w:rsidRDefault="001B3D81" w:rsidP="00EE4B01">
            <w:pPr>
              <w:ind w:left="0" w:firstLine="0"/>
              <w:rPr>
                <w:rStyle w:val="ReportTemplate"/>
              </w:rPr>
            </w:pPr>
            <w:r>
              <w:rPr>
                <w:rStyle w:val="ReportTemplate"/>
              </w:rPr>
              <w:t>14</w:t>
            </w:r>
          </w:p>
        </w:tc>
      </w:tr>
      <w:tr w:rsidR="00EE4B01" w14:paraId="44772467" w14:textId="77777777" w:rsidTr="001672CD">
        <w:tc>
          <w:tcPr>
            <w:tcW w:w="2113" w:type="dxa"/>
          </w:tcPr>
          <w:p w14:paraId="7B79D03C" w14:textId="242B4286" w:rsidR="00EE4B01" w:rsidRDefault="001672CD" w:rsidP="00EE4B01">
            <w:pPr>
              <w:ind w:left="0" w:firstLine="0"/>
              <w:rPr>
                <w:rStyle w:val="ReportTemplate"/>
              </w:rPr>
            </w:pPr>
            <w:r>
              <w:rPr>
                <w:rStyle w:val="ReportTemplate"/>
              </w:rPr>
              <w:t>Australia</w:t>
            </w:r>
          </w:p>
        </w:tc>
        <w:tc>
          <w:tcPr>
            <w:tcW w:w="6186" w:type="dxa"/>
          </w:tcPr>
          <w:p w14:paraId="0B367D72" w14:textId="44C3BCB5" w:rsidR="00EE4B01" w:rsidRDefault="001672CD" w:rsidP="00EE4B01">
            <w:pPr>
              <w:ind w:left="0" w:firstLine="0"/>
              <w:rPr>
                <w:rStyle w:val="ReportTemplate"/>
              </w:rPr>
            </w:pPr>
            <w:r>
              <w:rPr>
                <w:rStyle w:val="ReportTemplate"/>
              </w:rPr>
              <w:t>10</w:t>
            </w:r>
          </w:p>
        </w:tc>
      </w:tr>
      <w:tr w:rsidR="00EE4B01" w14:paraId="48BEF08E" w14:textId="77777777" w:rsidTr="001672CD">
        <w:tc>
          <w:tcPr>
            <w:tcW w:w="2113" w:type="dxa"/>
          </w:tcPr>
          <w:p w14:paraId="29BC60C8" w14:textId="5907FCB3" w:rsidR="00EE4B01" w:rsidRDefault="00C06E79" w:rsidP="00EE4B01">
            <w:pPr>
              <w:ind w:left="0" w:firstLine="0"/>
              <w:rPr>
                <w:rStyle w:val="ReportTemplate"/>
              </w:rPr>
            </w:pPr>
            <w:r>
              <w:rPr>
                <w:rStyle w:val="ReportTemplate"/>
              </w:rPr>
              <w:t>China</w:t>
            </w:r>
          </w:p>
        </w:tc>
        <w:tc>
          <w:tcPr>
            <w:tcW w:w="6186" w:type="dxa"/>
          </w:tcPr>
          <w:p w14:paraId="3AD99892" w14:textId="7FA29600" w:rsidR="00EE4B01" w:rsidRDefault="00C06E79" w:rsidP="00EE4B01">
            <w:pPr>
              <w:ind w:left="0" w:firstLine="0"/>
              <w:rPr>
                <w:rStyle w:val="ReportTemplate"/>
              </w:rPr>
            </w:pPr>
            <w:r>
              <w:rPr>
                <w:rStyle w:val="ReportTemplate"/>
              </w:rPr>
              <w:t>14</w:t>
            </w:r>
          </w:p>
        </w:tc>
      </w:tr>
      <w:tr w:rsidR="00EE4B01" w14:paraId="44DD0BB5" w14:textId="77777777" w:rsidTr="001672CD">
        <w:tc>
          <w:tcPr>
            <w:tcW w:w="2113" w:type="dxa"/>
          </w:tcPr>
          <w:p w14:paraId="601F576B" w14:textId="6100C009" w:rsidR="00EE4B01" w:rsidRDefault="00C06E79" w:rsidP="00EE4B01">
            <w:pPr>
              <w:ind w:left="0" w:firstLine="0"/>
              <w:rPr>
                <w:rStyle w:val="ReportTemplate"/>
              </w:rPr>
            </w:pPr>
            <w:r>
              <w:rPr>
                <w:rStyle w:val="ReportTemplate"/>
              </w:rPr>
              <w:t>USA</w:t>
            </w:r>
          </w:p>
        </w:tc>
        <w:tc>
          <w:tcPr>
            <w:tcW w:w="6186" w:type="dxa"/>
          </w:tcPr>
          <w:p w14:paraId="2D6989ED" w14:textId="22764D66" w:rsidR="00EE4B01" w:rsidRDefault="00E34A4E" w:rsidP="00EE4B01">
            <w:pPr>
              <w:ind w:left="0" w:firstLine="0"/>
              <w:rPr>
                <w:rStyle w:val="ReportTemplate"/>
              </w:rPr>
            </w:pPr>
            <w:r>
              <w:rPr>
                <w:rStyle w:val="ReportTemplate"/>
              </w:rPr>
              <w:t xml:space="preserve">In </w:t>
            </w:r>
            <w:r w:rsidR="00A2243C" w:rsidRPr="00A2243C">
              <w:rPr>
                <w:rStyle w:val="ReportTemplate"/>
              </w:rPr>
              <w:t xml:space="preserve">33 states, there is no minimum age of criminal responsibility, according to the Child Rights International Network. In theory, that means a child of any age could be </w:t>
            </w:r>
            <w:r w:rsidR="00A2243C" w:rsidRPr="00A2243C">
              <w:rPr>
                <w:rStyle w:val="ReportTemplate"/>
              </w:rPr>
              <w:lastRenderedPageBreak/>
              <w:t>convicted and sentenced. Of the states that do have a minimum, North Carolina's is the lowest at seven years.</w:t>
            </w:r>
          </w:p>
        </w:tc>
      </w:tr>
    </w:tbl>
    <w:p w14:paraId="269075C8" w14:textId="53819770" w:rsidR="00EE4B01" w:rsidRDefault="00EE4B01" w:rsidP="00EE4B01">
      <w:pPr>
        <w:ind w:left="717"/>
        <w:rPr>
          <w:rStyle w:val="ReportTemplate"/>
        </w:rPr>
      </w:pPr>
    </w:p>
    <w:p w14:paraId="2D9B7E21" w14:textId="2D8315FF" w:rsidR="00257CDF" w:rsidRDefault="00257CDF" w:rsidP="00EE4B01">
      <w:pPr>
        <w:ind w:left="717"/>
        <w:rPr>
          <w:rStyle w:val="ReportTemplate"/>
        </w:rPr>
      </w:pPr>
      <w:r>
        <w:rPr>
          <w:noProof/>
        </w:rPr>
        <w:drawing>
          <wp:inline distT="0" distB="0" distL="0" distR="0" wp14:anchorId="18EFA8DD" wp14:editId="7D7E2B65">
            <wp:extent cx="5731510" cy="4046855"/>
            <wp:effectExtent l="0" t="0" r="254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0n149qVcPNZx55Q5nKwAUg.png"/>
                    <pic:cNvPicPr/>
                  </pic:nvPicPr>
                  <pic:blipFill>
                    <a:blip r:embed="rId11"/>
                    <a:stretch>
                      <a:fillRect/>
                    </a:stretch>
                  </pic:blipFill>
                  <pic:spPr>
                    <a:xfrm>
                      <a:off x="0" y="0"/>
                      <a:ext cx="5731510" cy="4046855"/>
                    </a:xfrm>
                    <a:prstGeom prst="rect">
                      <a:avLst/>
                    </a:prstGeom>
                  </pic:spPr>
                </pic:pic>
              </a:graphicData>
            </a:graphic>
          </wp:inline>
        </w:drawing>
      </w:r>
    </w:p>
    <w:p w14:paraId="5A804F73" w14:textId="29AA3037" w:rsidR="00B57AC3" w:rsidRDefault="00253DA9" w:rsidP="00B57AC3">
      <w:pPr>
        <w:pStyle w:val="ListParagraph"/>
      </w:pPr>
      <w:r>
        <w:rPr>
          <w:rStyle w:val="ReportTemplate"/>
        </w:rPr>
        <w:t>A recent report published by the Justice Committee recommends a review into the ACR</w:t>
      </w:r>
      <w:r>
        <w:rPr>
          <w:rStyle w:val="EndnoteReference"/>
        </w:rPr>
        <w:endnoteReference w:id="3"/>
      </w:r>
      <w:r>
        <w:rPr>
          <w:rStyle w:val="ReportTemplate"/>
        </w:rPr>
        <w:t xml:space="preserve">. </w:t>
      </w:r>
      <w:r w:rsidR="00AB087F">
        <w:rPr>
          <w:rStyle w:val="ReportTemplate"/>
        </w:rPr>
        <w:t xml:space="preserve">A range of organisations have </w:t>
      </w:r>
      <w:r>
        <w:rPr>
          <w:rStyle w:val="ReportTemplate"/>
        </w:rPr>
        <w:t xml:space="preserve">also </w:t>
      </w:r>
      <w:r w:rsidR="00AB087F">
        <w:rPr>
          <w:rStyle w:val="ReportTemplate"/>
        </w:rPr>
        <w:t xml:space="preserve">called for </w:t>
      </w:r>
      <w:r w:rsidR="004A5056">
        <w:rPr>
          <w:rStyle w:val="ReportTemplate"/>
        </w:rPr>
        <w:t xml:space="preserve">all countries in </w:t>
      </w:r>
      <w:r w:rsidR="00AB087F">
        <w:rPr>
          <w:rStyle w:val="ReportTemplate"/>
        </w:rPr>
        <w:t xml:space="preserve">the UK to increase the ACR, including </w:t>
      </w:r>
      <w:r w:rsidR="008E3DB7">
        <w:rPr>
          <w:rStyle w:val="ReportTemplate"/>
        </w:rPr>
        <w:t>the Association of Directors of Children’s Services, the Association of Youth Offending Team Managers</w:t>
      </w:r>
      <w:r w:rsidR="00A642D1">
        <w:rPr>
          <w:rStyle w:val="ReportTemplate"/>
        </w:rPr>
        <w:t xml:space="preserve"> and</w:t>
      </w:r>
      <w:r w:rsidR="008E3DB7">
        <w:rPr>
          <w:rStyle w:val="ReportTemplate"/>
        </w:rPr>
        <w:t xml:space="preserve"> </w:t>
      </w:r>
      <w:r w:rsidR="00A642D1">
        <w:rPr>
          <w:rStyle w:val="ReportTemplate"/>
        </w:rPr>
        <w:t xml:space="preserve">the </w:t>
      </w:r>
      <w:r w:rsidR="003B3F7E">
        <w:rPr>
          <w:rStyle w:val="ReportTemplate"/>
        </w:rPr>
        <w:t>C</w:t>
      </w:r>
      <w:r w:rsidR="00A642D1">
        <w:rPr>
          <w:rStyle w:val="ReportTemplate"/>
        </w:rPr>
        <w:t xml:space="preserve">hildren’s </w:t>
      </w:r>
      <w:r w:rsidR="003B3F7E">
        <w:rPr>
          <w:rStyle w:val="ReportTemplate"/>
        </w:rPr>
        <w:t>C</w:t>
      </w:r>
      <w:r w:rsidR="00A642D1">
        <w:rPr>
          <w:rStyle w:val="ReportTemplate"/>
        </w:rPr>
        <w:t>ommissioner for England</w:t>
      </w:r>
      <w:r w:rsidR="006423ED">
        <w:rPr>
          <w:rStyle w:val="ReportTemplate"/>
        </w:rPr>
        <w:t>.</w:t>
      </w:r>
      <w:r w:rsidR="000E46C2">
        <w:rPr>
          <w:rStyle w:val="EndnoteReference"/>
        </w:rPr>
        <w:endnoteReference w:id="4"/>
      </w:r>
      <w:r w:rsidR="00121837">
        <w:rPr>
          <w:rStyle w:val="ReportTemplate"/>
        </w:rPr>
        <w:t xml:space="preserve"> Other organisations calling for the ACR to be raised include</w:t>
      </w:r>
      <w:r w:rsidR="00BA7381">
        <w:rPr>
          <w:rStyle w:val="ReportTemplate"/>
        </w:rPr>
        <w:t xml:space="preserve"> the</w:t>
      </w:r>
      <w:r w:rsidR="00121837">
        <w:rPr>
          <w:rStyle w:val="ReportTemplate"/>
        </w:rPr>
        <w:t xml:space="preserve"> </w:t>
      </w:r>
      <w:r w:rsidR="00BA7381">
        <w:t>Law Societies, the Royal Society, the Royal College of Psychiatrists and the All Party Parliamentary Group for Children.</w:t>
      </w:r>
      <w:r w:rsidR="00C2164C">
        <w:rPr>
          <w:rStyle w:val="EndnoteReference"/>
        </w:rPr>
        <w:endnoteReference w:id="5"/>
      </w:r>
    </w:p>
    <w:p w14:paraId="77EB61B7" w14:textId="77777777" w:rsidR="00B809CF" w:rsidRDefault="00B809CF" w:rsidP="00B809CF">
      <w:pPr>
        <w:pStyle w:val="ListParagraph"/>
        <w:numPr>
          <w:ilvl w:val="0"/>
          <w:numId w:val="0"/>
        </w:numPr>
        <w:ind w:left="360"/>
      </w:pPr>
    </w:p>
    <w:p w14:paraId="1F50B7DC" w14:textId="25453CE5" w:rsidR="00E34A4E" w:rsidRDefault="00B809CF" w:rsidP="00B57AC3">
      <w:pPr>
        <w:pStyle w:val="ListParagraph"/>
      </w:pPr>
      <w:r>
        <w:t>In May 2019, the Equalities and Human Rights Commission called on the Government to raise the ACR, noting that</w:t>
      </w:r>
      <w:r w:rsidR="00CD48CE">
        <w:t xml:space="preserve"> “</w:t>
      </w:r>
      <w:r w:rsidR="00CD48CE" w:rsidRPr="00CD48CE">
        <w:t>criminalising children at such a young age can have a detrimental impact on their wellbeing and development and risks making them more likely to reoffend as adults.</w:t>
      </w:r>
      <w:r w:rsidR="00CD48CE">
        <w:t>”</w:t>
      </w:r>
      <w:r w:rsidR="00CD48CE" w:rsidRPr="00CD48CE">
        <w:rPr>
          <w:rStyle w:val="EndnoteReference"/>
        </w:rPr>
        <w:t xml:space="preserve"> </w:t>
      </w:r>
      <w:r w:rsidR="00CD48CE">
        <w:rPr>
          <w:rStyle w:val="EndnoteReference"/>
        </w:rPr>
        <w:endnoteReference w:id="6"/>
      </w:r>
    </w:p>
    <w:p w14:paraId="13A19F3B" w14:textId="77777777" w:rsidR="009A08B4" w:rsidRDefault="009A08B4" w:rsidP="00CD48CE">
      <w:pPr>
        <w:rPr>
          <w:b/>
        </w:rPr>
      </w:pPr>
    </w:p>
    <w:p w14:paraId="009FA2A4" w14:textId="77777777" w:rsidR="009A08B4" w:rsidRDefault="009A08B4" w:rsidP="00CD48CE">
      <w:pPr>
        <w:rPr>
          <w:b/>
        </w:rPr>
      </w:pPr>
    </w:p>
    <w:p w14:paraId="36618445" w14:textId="77777777" w:rsidR="009A08B4" w:rsidRDefault="009A08B4" w:rsidP="00CD48CE">
      <w:pPr>
        <w:rPr>
          <w:b/>
        </w:rPr>
      </w:pPr>
    </w:p>
    <w:p w14:paraId="0D3B8276" w14:textId="77777777" w:rsidR="009A08B4" w:rsidRDefault="009A08B4" w:rsidP="00CD48CE">
      <w:pPr>
        <w:rPr>
          <w:b/>
        </w:rPr>
      </w:pPr>
    </w:p>
    <w:p w14:paraId="6C3DD7DC" w14:textId="561C0D6A" w:rsidR="00CD48CE" w:rsidRDefault="00745560" w:rsidP="00CD48CE">
      <w:pPr>
        <w:rPr>
          <w:b/>
        </w:rPr>
      </w:pPr>
      <w:r>
        <w:rPr>
          <w:b/>
        </w:rPr>
        <w:t>Demographics</w:t>
      </w:r>
    </w:p>
    <w:p w14:paraId="00AAB56D" w14:textId="443F93EA" w:rsidR="00B55F98" w:rsidRPr="00745560" w:rsidRDefault="00B55F98" w:rsidP="0011497B">
      <w:pPr>
        <w:pStyle w:val="ListParagraph"/>
      </w:pPr>
      <w:r w:rsidRPr="00745560">
        <w:t>Demographics of children receiving a caution or sentence compared to the general 10-17 population, England and Wales, year ending March 2019</w:t>
      </w:r>
      <w:r w:rsidR="009A08B4">
        <w:t>:</w:t>
      </w:r>
    </w:p>
    <w:tbl>
      <w:tblPr>
        <w:tblStyle w:val="TableGrid"/>
        <w:tblpPr w:leftFromText="180" w:rightFromText="180" w:vertAnchor="text" w:horzAnchor="margin" w:tblpXSpec="center" w:tblpY="152"/>
        <w:tblW w:w="0" w:type="auto"/>
        <w:tblLook w:val="04A0" w:firstRow="1" w:lastRow="0" w:firstColumn="1" w:lastColumn="0" w:noHBand="0" w:noVBand="1"/>
      </w:tblPr>
      <w:tblGrid>
        <w:gridCol w:w="4248"/>
        <w:gridCol w:w="1134"/>
        <w:gridCol w:w="944"/>
        <w:gridCol w:w="757"/>
        <w:gridCol w:w="718"/>
      </w:tblGrid>
      <w:tr w:rsidR="00745560" w14:paraId="02F6EAA5" w14:textId="77777777" w:rsidTr="00745560">
        <w:tc>
          <w:tcPr>
            <w:tcW w:w="4248" w:type="dxa"/>
          </w:tcPr>
          <w:p w14:paraId="4CE12432" w14:textId="77777777" w:rsidR="00745560" w:rsidRDefault="00745560" w:rsidP="00745560">
            <w:pPr>
              <w:spacing w:line="240" w:lineRule="auto"/>
              <w:ind w:left="0" w:firstLine="0"/>
              <w:rPr>
                <w:rFonts w:eastAsia="Times New Roman" w:cs="Arial"/>
                <w:b/>
                <w:bCs/>
                <w:lang w:eastAsia="en-GB"/>
              </w:rPr>
            </w:pPr>
          </w:p>
        </w:tc>
        <w:tc>
          <w:tcPr>
            <w:tcW w:w="1134" w:type="dxa"/>
          </w:tcPr>
          <w:p w14:paraId="74366927" w14:textId="77777777" w:rsidR="00745560" w:rsidRDefault="00745560" w:rsidP="00745560">
            <w:pPr>
              <w:spacing w:line="240" w:lineRule="auto"/>
              <w:ind w:left="0" w:firstLine="0"/>
              <w:rPr>
                <w:rFonts w:eastAsia="Times New Roman" w:cs="Arial"/>
                <w:b/>
                <w:bCs/>
                <w:lang w:eastAsia="en-GB"/>
              </w:rPr>
            </w:pPr>
            <w:r>
              <w:rPr>
                <w:rFonts w:eastAsia="Times New Roman" w:cs="Arial"/>
                <w:b/>
                <w:bCs/>
                <w:lang w:eastAsia="en-GB"/>
              </w:rPr>
              <w:t>10-14</w:t>
            </w:r>
          </w:p>
        </w:tc>
        <w:tc>
          <w:tcPr>
            <w:tcW w:w="944" w:type="dxa"/>
          </w:tcPr>
          <w:p w14:paraId="666CF8F3" w14:textId="77777777" w:rsidR="00745560" w:rsidRDefault="00745560" w:rsidP="00745560">
            <w:pPr>
              <w:spacing w:line="240" w:lineRule="auto"/>
              <w:ind w:left="0" w:firstLine="0"/>
              <w:rPr>
                <w:rFonts w:eastAsia="Times New Roman" w:cs="Arial"/>
                <w:b/>
                <w:bCs/>
                <w:lang w:eastAsia="en-GB"/>
              </w:rPr>
            </w:pPr>
            <w:r>
              <w:rPr>
                <w:rFonts w:eastAsia="Times New Roman" w:cs="Arial"/>
                <w:b/>
                <w:bCs/>
                <w:lang w:eastAsia="en-GB"/>
              </w:rPr>
              <w:t>15-17+</w:t>
            </w:r>
          </w:p>
        </w:tc>
        <w:tc>
          <w:tcPr>
            <w:tcW w:w="757" w:type="dxa"/>
          </w:tcPr>
          <w:p w14:paraId="7D975ECF" w14:textId="77777777" w:rsidR="00745560" w:rsidRDefault="00745560" w:rsidP="00745560">
            <w:pPr>
              <w:spacing w:line="240" w:lineRule="auto"/>
              <w:ind w:left="0" w:firstLine="0"/>
              <w:rPr>
                <w:rFonts w:eastAsia="Times New Roman" w:cs="Arial"/>
                <w:b/>
                <w:bCs/>
                <w:lang w:eastAsia="en-GB"/>
              </w:rPr>
            </w:pPr>
            <w:r>
              <w:rPr>
                <w:rFonts w:eastAsia="Times New Roman" w:cs="Arial"/>
                <w:b/>
                <w:bCs/>
                <w:lang w:eastAsia="en-GB"/>
              </w:rPr>
              <w:t>Boys</w:t>
            </w:r>
          </w:p>
        </w:tc>
        <w:tc>
          <w:tcPr>
            <w:tcW w:w="718" w:type="dxa"/>
          </w:tcPr>
          <w:p w14:paraId="331D37EA" w14:textId="77777777" w:rsidR="00745560" w:rsidRDefault="00745560" w:rsidP="00745560">
            <w:pPr>
              <w:spacing w:line="240" w:lineRule="auto"/>
              <w:ind w:left="0" w:firstLine="0"/>
              <w:rPr>
                <w:rFonts w:eastAsia="Times New Roman" w:cs="Arial"/>
                <w:b/>
                <w:bCs/>
                <w:lang w:eastAsia="en-GB"/>
              </w:rPr>
            </w:pPr>
            <w:r>
              <w:rPr>
                <w:rFonts w:eastAsia="Times New Roman" w:cs="Arial"/>
                <w:b/>
                <w:bCs/>
                <w:lang w:eastAsia="en-GB"/>
              </w:rPr>
              <w:t>Girls</w:t>
            </w:r>
          </w:p>
        </w:tc>
      </w:tr>
      <w:tr w:rsidR="00745560" w14:paraId="20210293" w14:textId="77777777" w:rsidTr="00745560">
        <w:tc>
          <w:tcPr>
            <w:tcW w:w="4248" w:type="dxa"/>
          </w:tcPr>
          <w:p w14:paraId="55947F3A"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Children receiving a caution or sentence</w:t>
            </w:r>
          </w:p>
        </w:tc>
        <w:tc>
          <w:tcPr>
            <w:tcW w:w="1134" w:type="dxa"/>
          </w:tcPr>
          <w:p w14:paraId="3CE1B242"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23%</w:t>
            </w:r>
          </w:p>
        </w:tc>
        <w:tc>
          <w:tcPr>
            <w:tcW w:w="944" w:type="dxa"/>
          </w:tcPr>
          <w:p w14:paraId="398064D2"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77%</w:t>
            </w:r>
          </w:p>
        </w:tc>
        <w:tc>
          <w:tcPr>
            <w:tcW w:w="757" w:type="dxa"/>
          </w:tcPr>
          <w:p w14:paraId="0DA893C6"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85%</w:t>
            </w:r>
          </w:p>
        </w:tc>
        <w:tc>
          <w:tcPr>
            <w:tcW w:w="718" w:type="dxa"/>
          </w:tcPr>
          <w:p w14:paraId="1739D159"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15%</w:t>
            </w:r>
          </w:p>
        </w:tc>
      </w:tr>
      <w:tr w:rsidR="00745560" w14:paraId="40D82AB6" w14:textId="77777777" w:rsidTr="00745560">
        <w:tc>
          <w:tcPr>
            <w:tcW w:w="4248" w:type="dxa"/>
          </w:tcPr>
          <w:p w14:paraId="2D6C8091"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10-17 population</w:t>
            </w:r>
          </w:p>
        </w:tc>
        <w:tc>
          <w:tcPr>
            <w:tcW w:w="1134" w:type="dxa"/>
          </w:tcPr>
          <w:p w14:paraId="368D193C"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64%</w:t>
            </w:r>
          </w:p>
        </w:tc>
        <w:tc>
          <w:tcPr>
            <w:tcW w:w="944" w:type="dxa"/>
          </w:tcPr>
          <w:p w14:paraId="5E0DF57A"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36%</w:t>
            </w:r>
          </w:p>
        </w:tc>
        <w:tc>
          <w:tcPr>
            <w:tcW w:w="757" w:type="dxa"/>
          </w:tcPr>
          <w:p w14:paraId="588F2BA0"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51%</w:t>
            </w:r>
          </w:p>
        </w:tc>
        <w:tc>
          <w:tcPr>
            <w:tcW w:w="718" w:type="dxa"/>
          </w:tcPr>
          <w:p w14:paraId="07897EF5" w14:textId="77777777" w:rsidR="00745560" w:rsidRPr="00B55F98" w:rsidRDefault="00745560" w:rsidP="00745560">
            <w:pPr>
              <w:spacing w:line="240" w:lineRule="auto"/>
              <w:ind w:left="0" w:firstLine="0"/>
              <w:rPr>
                <w:rFonts w:eastAsia="Times New Roman" w:cs="Arial"/>
                <w:lang w:eastAsia="en-GB"/>
              </w:rPr>
            </w:pPr>
            <w:r w:rsidRPr="00B55F98">
              <w:rPr>
                <w:rFonts w:eastAsia="Times New Roman" w:cs="Arial"/>
                <w:lang w:eastAsia="en-GB"/>
              </w:rPr>
              <w:t>49%</w:t>
            </w:r>
          </w:p>
        </w:tc>
      </w:tr>
    </w:tbl>
    <w:p w14:paraId="0D34ED5E" w14:textId="4282E65F" w:rsidR="00B55F98" w:rsidRDefault="00B55F98" w:rsidP="00B55F98">
      <w:pPr>
        <w:spacing w:after="0" w:line="240" w:lineRule="auto"/>
        <w:ind w:left="0" w:firstLine="0"/>
        <w:rPr>
          <w:rFonts w:eastAsia="Times New Roman" w:cs="Arial"/>
          <w:b/>
          <w:bCs/>
          <w:lang w:eastAsia="en-GB"/>
        </w:rPr>
      </w:pPr>
    </w:p>
    <w:p w14:paraId="32CC9F55" w14:textId="76DE7E14" w:rsidR="00B55F98" w:rsidRDefault="00B55F98" w:rsidP="00B55F98">
      <w:pPr>
        <w:spacing w:after="0" w:line="240" w:lineRule="auto"/>
        <w:ind w:left="0" w:firstLine="0"/>
        <w:rPr>
          <w:rFonts w:eastAsia="Times New Roman" w:cs="Arial"/>
          <w:b/>
          <w:bCs/>
          <w:lang w:eastAsia="en-GB"/>
        </w:rPr>
      </w:pPr>
    </w:p>
    <w:p w14:paraId="42F492DE" w14:textId="77777777" w:rsidR="00745560" w:rsidRDefault="00745560" w:rsidP="00745560">
      <w:pPr>
        <w:spacing w:after="0" w:line="240" w:lineRule="auto"/>
        <w:ind w:left="0" w:firstLine="0"/>
        <w:rPr>
          <w:rFonts w:eastAsia="Times New Roman" w:cs="Arial"/>
          <w:lang w:eastAsia="en-GB"/>
        </w:rPr>
      </w:pPr>
    </w:p>
    <w:p w14:paraId="62D498B4" w14:textId="77777777" w:rsidR="00745560" w:rsidRDefault="00745560" w:rsidP="00745560">
      <w:pPr>
        <w:spacing w:after="0" w:line="240" w:lineRule="auto"/>
        <w:ind w:left="0" w:firstLine="0"/>
        <w:rPr>
          <w:rFonts w:eastAsia="Times New Roman" w:cs="Arial"/>
          <w:lang w:eastAsia="en-GB"/>
        </w:rPr>
      </w:pPr>
    </w:p>
    <w:p w14:paraId="3189E1D3" w14:textId="77777777" w:rsidR="009A08B4" w:rsidRDefault="009A08B4" w:rsidP="00745560">
      <w:pPr>
        <w:spacing w:after="0" w:line="240" w:lineRule="auto"/>
        <w:ind w:left="0" w:firstLine="0"/>
        <w:rPr>
          <w:rFonts w:eastAsia="Times New Roman" w:cs="Arial"/>
          <w:lang w:eastAsia="en-GB"/>
        </w:rPr>
      </w:pPr>
    </w:p>
    <w:p w14:paraId="5097CD8F" w14:textId="6A260ACF" w:rsidR="00B55F98" w:rsidRDefault="00B55F98" w:rsidP="0011497B">
      <w:pPr>
        <w:pStyle w:val="ListParagraph"/>
        <w:rPr>
          <w:lang w:eastAsia="en-GB"/>
        </w:rPr>
      </w:pPr>
      <w:r w:rsidRPr="00745560">
        <w:rPr>
          <w:lang w:eastAsia="en-GB"/>
        </w:rPr>
        <w:t>Children in the youth justice system who received a youth caution or sentence by age, year ending March 2019</w:t>
      </w:r>
      <w:r w:rsidR="00745560">
        <w:rPr>
          <w:lang w:eastAsia="en-GB"/>
        </w:rPr>
        <w:t>:</w:t>
      </w:r>
    </w:p>
    <w:p w14:paraId="03BB365B" w14:textId="4020F117" w:rsidR="00745560" w:rsidRDefault="00745560" w:rsidP="00745560">
      <w:pPr>
        <w:spacing w:after="0" w:line="240" w:lineRule="auto"/>
        <w:ind w:left="0" w:firstLine="0"/>
        <w:rPr>
          <w:rFonts w:eastAsia="Times New Roman" w:cs="Arial"/>
          <w:lang w:eastAsia="en-GB"/>
        </w:rPr>
      </w:pPr>
    </w:p>
    <w:tbl>
      <w:tblPr>
        <w:tblStyle w:val="TableGrid"/>
        <w:tblW w:w="10348" w:type="dxa"/>
        <w:tblInd w:w="-714" w:type="dxa"/>
        <w:tblLayout w:type="fixed"/>
        <w:tblLook w:val="04A0" w:firstRow="1" w:lastRow="0" w:firstColumn="1" w:lastColumn="0" w:noHBand="0" w:noVBand="1"/>
      </w:tblPr>
      <w:tblGrid>
        <w:gridCol w:w="709"/>
        <w:gridCol w:w="567"/>
        <w:gridCol w:w="709"/>
        <w:gridCol w:w="709"/>
        <w:gridCol w:w="850"/>
        <w:gridCol w:w="851"/>
        <w:gridCol w:w="850"/>
        <w:gridCol w:w="851"/>
        <w:gridCol w:w="848"/>
        <w:gridCol w:w="286"/>
        <w:gridCol w:w="850"/>
        <w:gridCol w:w="944"/>
        <w:gridCol w:w="1324"/>
      </w:tblGrid>
      <w:tr w:rsidR="00745560" w14:paraId="6963296E" w14:textId="77777777" w:rsidTr="00745560">
        <w:tc>
          <w:tcPr>
            <w:tcW w:w="709" w:type="dxa"/>
          </w:tcPr>
          <w:p w14:paraId="25158FE1" w14:textId="2CC1D733" w:rsidR="00745560" w:rsidRDefault="00745560" w:rsidP="00745560">
            <w:pPr>
              <w:spacing w:line="240" w:lineRule="auto"/>
              <w:ind w:left="0" w:firstLine="0"/>
              <w:rPr>
                <w:rFonts w:eastAsia="Times New Roman" w:cs="Arial"/>
                <w:lang w:eastAsia="en-GB"/>
              </w:rPr>
            </w:pPr>
            <w:r>
              <w:rPr>
                <w:rFonts w:eastAsia="Times New Roman" w:cs="Arial"/>
                <w:lang w:eastAsia="en-GB"/>
              </w:rPr>
              <w:t>Age</w:t>
            </w:r>
          </w:p>
        </w:tc>
        <w:tc>
          <w:tcPr>
            <w:tcW w:w="567" w:type="dxa"/>
          </w:tcPr>
          <w:p w14:paraId="473D5E83" w14:textId="245E8622" w:rsidR="00745560" w:rsidRDefault="00745560" w:rsidP="00745560">
            <w:pPr>
              <w:spacing w:line="240" w:lineRule="auto"/>
              <w:ind w:left="0" w:firstLine="0"/>
              <w:rPr>
                <w:rFonts w:eastAsia="Times New Roman" w:cs="Arial"/>
                <w:lang w:eastAsia="en-GB"/>
              </w:rPr>
            </w:pPr>
            <w:r>
              <w:rPr>
                <w:rFonts w:eastAsia="Times New Roman" w:cs="Arial"/>
                <w:lang w:eastAsia="en-GB"/>
              </w:rPr>
              <w:t>10</w:t>
            </w:r>
          </w:p>
        </w:tc>
        <w:tc>
          <w:tcPr>
            <w:tcW w:w="709" w:type="dxa"/>
          </w:tcPr>
          <w:p w14:paraId="185FB523" w14:textId="6A121BD6" w:rsidR="00745560" w:rsidRDefault="00745560" w:rsidP="00745560">
            <w:pPr>
              <w:spacing w:line="240" w:lineRule="auto"/>
              <w:ind w:left="0" w:firstLine="0"/>
              <w:rPr>
                <w:rFonts w:eastAsia="Times New Roman" w:cs="Arial"/>
                <w:lang w:eastAsia="en-GB"/>
              </w:rPr>
            </w:pPr>
            <w:r>
              <w:rPr>
                <w:rFonts w:eastAsia="Times New Roman" w:cs="Arial"/>
                <w:lang w:eastAsia="en-GB"/>
              </w:rPr>
              <w:t>11</w:t>
            </w:r>
          </w:p>
        </w:tc>
        <w:tc>
          <w:tcPr>
            <w:tcW w:w="709" w:type="dxa"/>
          </w:tcPr>
          <w:p w14:paraId="2AB4C89F" w14:textId="71E127C3" w:rsidR="00745560" w:rsidRDefault="00745560" w:rsidP="00745560">
            <w:pPr>
              <w:spacing w:line="240" w:lineRule="auto"/>
              <w:ind w:left="0" w:firstLine="0"/>
              <w:rPr>
                <w:rFonts w:eastAsia="Times New Roman" w:cs="Arial"/>
                <w:lang w:eastAsia="en-GB"/>
              </w:rPr>
            </w:pPr>
            <w:r>
              <w:rPr>
                <w:rFonts w:eastAsia="Times New Roman" w:cs="Arial"/>
                <w:lang w:eastAsia="en-GB"/>
              </w:rPr>
              <w:t>12</w:t>
            </w:r>
          </w:p>
        </w:tc>
        <w:tc>
          <w:tcPr>
            <w:tcW w:w="850" w:type="dxa"/>
          </w:tcPr>
          <w:p w14:paraId="74814B7C" w14:textId="788521BA" w:rsidR="00745560" w:rsidRDefault="00745560" w:rsidP="00745560">
            <w:pPr>
              <w:spacing w:line="240" w:lineRule="auto"/>
              <w:ind w:left="0" w:firstLine="0"/>
              <w:rPr>
                <w:rFonts w:eastAsia="Times New Roman" w:cs="Arial"/>
                <w:lang w:eastAsia="en-GB"/>
              </w:rPr>
            </w:pPr>
            <w:r>
              <w:rPr>
                <w:rFonts w:eastAsia="Times New Roman" w:cs="Arial"/>
                <w:lang w:eastAsia="en-GB"/>
              </w:rPr>
              <w:t>13</w:t>
            </w:r>
          </w:p>
        </w:tc>
        <w:tc>
          <w:tcPr>
            <w:tcW w:w="851" w:type="dxa"/>
          </w:tcPr>
          <w:p w14:paraId="1F39B814" w14:textId="0FBCEF3D" w:rsidR="00745560" w:rsidRDefault="00745560" w:rsidP="00745560">
            <w:pPr>
              <w:spacing w:line="240" w:lineRule="auto"/>
              <w:ind w:left="0" w:firstLine="0"/>
              <w:rPr>
                <w:rFonts w:eastAsia="Times New Roman" w:cs="Arial"/>
                <w:lang w:eastAsia="en-GB"/>
              </w:rPr>
            </w:pPr>
            <w:r>
              <w:rPr>
                <w:rFonts w:eastAsia="Times New Roman" w:cs="Arial"/>
                <w:lang w:eastAsia="en-GB"/>
              </w:rPr>
              <w:t>14</w:t>
            </w:r>
          </w:p>
        </w:tc>
        <w:tc>
          <w:tcPr>
            <w:tcW w:w="850" w:type="dxa"/>
          </w:tcPr>
          <w:p w14:paraId="04579DA1" w14:textId="5A361076" w:rsidR="00745560" w:rsidRDefault="00745560" w:rsidP="00745560">
            <w:pPr>
              <w:spacing w:line="240" w:lineRule="auto"/>
              <w:ind w:left="0" w:firstLine="0"/>
              <w:rPr>
                <w:rFonts w:eastAsia="Times New Roman" w:cs="Arial"/>
                <w:lang w:eastAsia="en-GB"/>
              </w:rPr>
            </w:pPr>
            <w:r>
              <w:rPr>
                <w:rFonts w:eastAsia="Times New Roman" w:cs="Arial"/>
                <w:lang w:eastAsia="en-GB"/>
              </w:rPr>
              <w:t>15</w:t>
            </w:r>
          </w:p>
        </w:tc>
        <w:tc>
          <w:tcPr>
            <w:tcW w:w="851" w:type="dxa"/>
          </w:tcPr>
          <w:p w14:paraId="3046CC1B" w14:textId="2DAEB289" w:rsidR="00745560" w:rsidRDefault="00745560" w:rsidP="00745560">
            <w:pPr>
              <w:spacing w:line="240" w:lineRule="auto"/>
              <w:ind w:left="0" w:firstLine="0"/>
              <w:rPr>
                <w:rFonts w:eastAsia="Times New Roman" w:cs="Arial"/>
                <w:lang w:eastAsia="en-GB"/>
              </w:rPr>
            </w:pPr>
            <w:r>
              <w:rPr>
                <w:rFonts w:eastAsia="Times New Roman" w:cs="Arial"/>
                <w:lang w:eastAsia="en-GB"/>
              </w:rPr>
              <w:t>16</w:t>
            </w:r>
          </w:p>
        </w:tc>
        <w:tc>
          <w:tcPr>
            <w:tcW w:w="848" w:type="dxa"/>
          </w:tcPr>
          <w:p w14:paraId="2710FE81" w14:textId="5FA52878" w:rsidR="00745560" w:rsidRDefault="00745560" w:rsidP="00745560">
            <w:pPr>
              <w:spacing w:line="240" w:lineRule="auto"/>
              <w:ind w:left="0" w:firstLine="0"/>
              <w:rPr>
                <w:rFonts w:eastAsia="Times New Roman" w:cs="Arial"/>
                <w:lang w:eastAsia="en-GB"/>
              </w:rPr>
            </w:pPr>
            <w:r>
              <w:rPr>
                <w:rFonts w:eastAsia="Times New Roman" w:cs="Arial"/>
                <w:lang w:eastAsia="en-GB"/>
              </w:rPr>
              <w:t>17+</w:t>
            </w:r>
          </w:p>
        </w:tc>
        <w:tc>
          <w:tcPr>
            <w:tcW w:w="286" w:type="dxa"/>
            <w:shd w:val="clear" w:color="auto" w:fill="E7E6E6" w:themeFill="background2"/>
          </w:tcPr>
          <w:p w14:paraId="52005468" w14:textId="2677DEA5" w:rsidR="00745560" w:rsidRDefault="00745560" w:rsidP="00745560">
            <w:pPr>
              <w:spacing w:line="240" w:lineRule="auto"/>
              <w:ind w:left="0" w:firstLine="0"/>
              <w:rPr>
                <w:rFonts w:eastAsia="Times New Roman" w:cs="Arial"/>
                <w:lang w:eastAsia="en-GB"/>
              </w:rPr>
            </w:pPr>
          </w:p>
        </w:tc>
        <w:tc>
          <w:tcPr>
            <w:tcW w:w="850" w:type="dxa"/>
          </w:tcPr>
          <w:p w14:paraId="71B306CD" w14:textId="59E4FA44" w:rsidR="00745560" w:rsidRDefault="00745560" w:rsidP="00745560">
            <w:pPr>
              <w:spacing w:line="240" w:lineRule="auto"/>
              <w:ind w:left="0" w:firstLine="0"/>
              <w:rPr>
                <w:rFonts w:eastAsia="Times New Roman" w:cs="Arial"/>
                <w:lang w:eastAsia="en-GB"/>
              </w:rPr>
            </w:pPr>
            <w:r>
              <w:rPr>
                <w:rFonts w:eastAsia="Times New Roman" w:cs="Arial"/>
                <w:lang w:eastAsia="en-GB"/>
              </w:rPr>
              <w:t>10-14 total</w:t>
            </w:r>
          </w:p>
        </w:tc>
        <w:tc>
          <w:tcPr>
            <w:tcW w:w="944" w:type="dxa"/>
          </w:tcPr>
          <w:p w14:paraId="7C18CB53" w14:textId="5DF0E033" w:rsidR="00745560" w:rsidRDefault="00745560" w:rsidP="00745560">
            <w:pPr>
              <w:spacing w:line="240" w:lineRule="auto"/>
              <w:ind w:left="0" w:firstLine="0"/>
              <w:rPr>
                <w:rFonts w:eastAsia="Times New Roman" w:cs="Arial"/>
                <w:lang w:eastAsia="en-GB"/>
              </w:rPr>
            </w:pPr>
            <w:r>
              <w:rPr>
                <w:rFonts w:eastAsia="Times New Roman" w:cs="Arial"/>
                <w:lang w:eastAsia="en-GB"/>
              </w:rPr>
              <w:t>15-17+ total</w:t>
            </w:r>
          </w:p>
        </w:tc>
        <w:tc>
          <w:tcPr>
            <w:tcW w:w="1324" w:type="dxa"/>
          </w:tcPr>
          <w:p w14:paraId="5E3D1BDF" w14:textId="2FA83E0E" w:rsidR="00745560" w:rsidRDefault="00745560" w:rsidP="00745560">
            <w:pPr>
              <w:spacing w:line="240" w:lineRule="auto"/>
              <w:ind w:left="0" w:firstLine="0"/>
              <w:rPr>
                <w:rFonts w:eastAsia="Times New Roman" w:cs="Arial"/>
                <w:lang w:eastAsia="en-GB"/>
              </w:rPr>
            </w:pPr>
            <w:r>
              <w:rPr>
                <w:rFonts w:eastAsia="Times New Roman" w:cs="Arial"/>
                <w:lang w:eastAsia="en-GB"/>
              </w:rPr>
              <w:t>Total</w:t>
            </w:r>
          </w:p>
        </w:tc>
      </w:tr>
      <w:tr w:rsidR="00745560" w14:paraId="29E1A41C" w14:textId="77777777" w:rsidTr="00745560">
        <w:tc>
          <w:tcPr>
            <w:tcW w:w="709" w:type="dxa"/>
          </w:tcPr>
          <w:p w14:paraId="1C393EA0" w14:textId="05278CDA" w:rsidR="00745560" w:rsidRDefault="00745560" w:rsidP="00745560">
            <w:pPr>
              <w:spacing w:line="240" w:lineRule="auto"/>
              <w:ind w:left="0" w:firstLine="0"/>
              <w:rPr>
                <w:rFonts w:eastAsia="Times New Roman" w:cs="Arial"/>
                <w:lang w:eastAsia="en-GB"/>
              </w:rPr>
            </w:pPr>
          </w:p>
        </w:tc>
        <w:tc>
          <w:tcPr>
            <w:tcW w:w="567" w:type="dxa"/>
          </w:tcPr>
          <w:p w14:paraId="5B24358C" w14:textId="56EACD4E" w:rsidR="00745560" w:rsidRDefault="00745560" w:rsidP="00745560">
            <w:pPr>
              <w:spacing w:line="240" w:lineRule="auto"/>
              <w:ind w:left="0" w:firstLine="0"/>
              <w:rPr>
                <w:rFonts w:eastAsia="Times New Roman" w:cs="Arial"/>
                <w:lang w:eastAsia="en-GB"/>
              </w:rPr>
            </w:pPr>
            <w:r>
              <w:rPr>
                <w:rFonts w:eastAsia="Times New Roman" w:cs="Arial"/>
                <w:lang w:eastAsia="en-GB"/>
              </w:rPr>
              <w:t>32</w:t>
            </w:r>
          </w:p>
        </w:tc>
        <w:tc>
          <w:tcPr>
            <w:tcW w:w="709" w:type="dxa"/>
          </w:tcPr>
          <w:p w14:paraId="17272942" w14:textId="45FDE95F" w:rsidR="00745560" w:rsidRDefault="00745560" w:rsidP="00745560">
            <w:pPr>
              <w:spacing w:line="240" w:lineRule="auto"/>
              <w:ind w:left="0" w:firstLine="0"/>
              <w:rPr>
                <w:rFonts w:eastAsia="Times New Roman" w:cs="Arial"/>
                <w:lang w:eastAsia="en-GB"/>
              </w:rPr>
            </w:pPr>
            <w:r>
              <w:rPr>
                <w:rFonts w:eastAsia="Times New Roman" w:cs="Arial"/>
                <w:lang w:eastAsia="en-GB"/>
              </w:rPr>
              <w:t>141</w:t>
            </w:r>
          </w:p>
        </w:tc>
        <w:tc>
          <w:tcPr>
            <w:tcW w:w="709" w:type="dxa"/>
          </w:tcPr>
          <w:p w14:paraId="546683F2" w14:textId="5546A548" w:rsidR="00745560" w:rsidRDefault="00745560" w:rsidP="00745560">
            <w:pPr>
              <w:spacing w:line="240" w:lineRule="auto"/>
              <w:ind w:left="0" w:firstLine="0"/>
              <w:rPr>
                <w:rFonts w:eastAsia="Times New Roman" w:cs="Arial"/>
                <w:lang w:eastAsia="en-GB"/>
              </w:rPr>
            </w:pPr>
            <w:r>
              <w:rPr>
                <w:rFonts w:eastAsia="Times New Roman" w:cs="Arial"/>
                <w:lang w:eastAsia="en-GB"/>
              </w:rPr>
              <w:t>568</w:t>
            </w:r>
          </w:p>
        </w:tc>
        <w:tc>
          <w:tcPr>
            <w:tcW w:w="850" w:type="dxa"/>
          </w:tcPr>
          <w:p w14:paraId="7BE0B2E0" w14:textId="0065E683" w:rsidR="00745560" w:rsidRDefault="00745560" w:rsidP="00745560">
            <w:pPr>
              <w:spacing w:line="240" w:lineRule="auto"/>
              <w:ind w:left="0" w:firstLine="0"/>
              <w:rPr>
                <w:rFonts w:eastAsia="Times New Roman" w:cs="Arial"/>
                <w:lang w:eastAsia="en-GB"/>
              </w:rPr>
            </w:pPr>
            <w:r>
              <w:rPr>
                <w:rFonts w:eastAsia="Times New Roman" w:cs="Arial"/>
                <w:lang w:eastAsia="en-GB"/>
              </w:rPr>
              <w:t>1,371</w:t>
            </w:r>
          </w:p>
        </w:tc>
        <w:tc>
          <w:tcPr>
            <w:tcW w:w="851" w:type="dxa"/>
          </w:tcPr>
          <w:p w14:paraId="763B4504" w14:textId="02B94F50" w:rsidR="00745560" w:rsidRDefault="00745560" w:rsidP="00745560">
            <w:pPr>
              <w:spacing w:line="240" w:lineRule="auto"/>
              <w:ind w:left="0" w:firstLine="0"/>
              <w:rPr>
                <w:rFonts w:eastAsia="Times New Roman" w:cs="Arial"/>
                <w:lang w:eastAsia="en-GB"/>
              </w:rPr>
            </w:pPr>
            <w:r>
              <w:rPr>
                <w:rFonts w:eastAsia="Times New Roman" w:cs="Arial"/>
                <w:lang w:eastAsia="en-GB"/>
              </w:rPr>
              <w:t>2,777</w:t>
            </w:r>
          </w:p>
        </w:tc>
        <w:tc>
          <w:tcPr>
            <w:tcW w:w="850" w:type="dxa"/>
          </w:tcPr>
          <w:p w14:paraId="5AD39E37" w14:textId="49FD2C3C" w:rsidR="00745560" w:rsidRDefault="00745560" w:rsidP="00745560">
            <w:pPr>
              <w:spacing w:line="240" w:lineRule="auto"/>
              <w:ind w:left="0" w:firstLine="0"/>
              <w:rPr>
                <w:rFonts w:eastAsia="Times New Roman" w:cs="Arial"/>
                <w:lang w:eastAsia="en-GB"/>
              </w:rPr>
            </w:pPr>
            <w:r>
              <w:rPr>
                <w:rFonts w:eastAsia="Times New Roman" w:cs="Arial"/>
                <w:lang w:eastAsia="en-GB"/>
              </w:rPr>
              <w:t>4,241</w:t>
            </w:r>
          </w:p>
        </w:tc>
        <w:tc>
          <w:tcPr>
            <w:tcW w:w="851" w:type="dxa"/>
          </w:tcPr>
          <w:p w14:paraId="03699640" w14:textId="1B278C5B" w:rsidR="00745560" w:rsidRDefault="00745560" w:rsidP="00745560">
            <w:pPr>
              <w:spacing w:line="240" w:lineRule="auto"/>
              <w:ind w:left="0" w:firstLine="0"/>
              <w:rPr>
                <w:rFonts w:eastAsia="Times New Roman" w:cs="Arial"/>
                <w:lang w:eastAsia="en-GB"/>
              </w:rPr>
            </w:pPr>
            <w:r>
              <w:rPr>
                <w:rFonts w:eastAsia="Times New Roman" w:cs="Arial"/>
                <w:lang w:eastAsia="en-GB"/>
              </w:rPr>
              <w:t>5,367</w:t>
            </w:r>
          </w:p>
        </w:tc>
        <w:tc>
          <w:tcPr>
            <w:tcW w:w="848" w:type="dxa"/>
          </w:tcPr>
          <w:p w14:paraId="04B5C8CE" w14:textId="635D7F6E" w:rsidR="00745560" w:rsidRDefault="00745560" w:rsidP="00745560">
            <w:pPr>
              <w:spacing w:line="240" w:lineRule="auto"/>
              <w:ind w:left="0" w:firstLine="0"/>
              <w:rPr>
                <w:rFonts w:eastAsia="Times New Roman" w:cs="Arial"/>
                <w:lang w:eastAsia="en-GB"/>
              </w:rPr>
            </w:pPr>
            <w:r>
              <w:rPr>
                <w:rFonts w:eastAsia="Times New Roman" w:cs="Arial"/>
                <w:lang w:eastAsia="en-GB"/>
              </w:rPr>
              <w:t>7,168</w:t>
            </w:r>
          </w:p>
        </w:tc>
        <w:tc>
          <w:tcPr>
            <w:tcW w:w="286" w:type="dxa"/>
            <w:shd w:val="clear" w:color="auto" w:fill="E7E6E6" w:themeFill="background2"/>
          </w:tcPr>
          <w:p w14:paraId="4CE5391D" w14:textId="77777777" w:rsidR="00745560" w:rsidRDefault="00745560" w:rsidP="00745560">
            <w:pPr>
              <w:spacing w:line="240" w:lineRule="auto"/>
              <w:ind w:left="0" w:firstLine="0"/>
              <w:rPr>
                <w:rFonts w:eastAsia="Times New Roman" w:cs="Arial"/>
                <w:lang w:eastAsia="en-GB"/>
              </w:rPr>
            </w:pPr>
          </w:p>
        </w:tc>
        <w:tc>
          <w:tcPr>
            <w:tcW w:w="850" w:type="dxa"/>
          </w:tcPr>
          <w:p w14:paraId="10CCE2CF" w14:textId="16C62404" w:rsidR="00745560" w:rsidRDefault="00745560" w:rsidP="00745560">
            <w:pPr>
              <w:spacing w:line="240" w:lineRule="auto"/>
              <w:ind w:left="0" w:firstLine="0"/>
              <w:rPr>
                <w:rFonts w:eastAsia="Times New Roman" w:cs="Arial"/>
                <w:lang w:eastAsia="en-GB"/>
              </w:rPr>
            </w:pPr>
            <w:r>
              <w:rPr>
                <w:rFonts w:eastAsia="Times New Roman" w:cs="Arial"/>
                <w:lang w:eastAsia="en-GB"/>
              </w:rPr>
              <w:t>4,889</w:t>
            </w:r>
          </w:p>
        </w:tc>
        <w:tc>
          <w:tcPr>
            <w:tcW w:w="944" w:type="dxa"/>
          </w:tcPr>
          <w:p w14:paraId="1F25C770" w14:textId="4D7035F8" w:rsidR="00745560" w:rsidRDefault="00745560" w:rsidP="00745560">
            <w:pPr>
              <w:spacing w:line="240" w:lineRule="auto"/>
              <w:ind w:left="0" w:firstLine="0"/>
              <w:rPr>
                <w:rFonts w:eastAsia="Times New Roman" w:cs="Arial"/>
                <w:lang w:eastAsia="en-GB"/>
              </w:rPr>
            </w:pPr>
            <w:r>
              <w:rPr>
                <w:rFonts w:eastAsia="Times New Roman" w:cs="Arial"/>
                <w:lang w:eastAsia="en-GB"/>
              </w:rPr>
              <w:t>16,776</w:t>
            </w:r>
          </w:p>
        </w:tc>
        <w:tc>
          <w:tcPr>
            <w:tcW w:w="1324" w:type="dxa"/>
          </w:tcPr>
          <w:p w14:paraId="0760DBEC" w14:textId="157DF646" w:rsidR="00745560" w:rsidRDefault="00745560" w:rsidP="00745560">
            <w:pPr>
              <w:spacing w:line="240" w:lineRule="auto"/>
              <w:ind w:left="0" w:firstLine="0"/>
              <w:rPr>
                <w:rFonts w:eastAsia="Times New Roman" w:cs="Arial"/>
                <w:lang w:eastAsia="en-GB"/>
              </w:rPr>
            </w:pPr>
            <w:r>
              <w:rPr>
                <w:rFonts w:eastAsia="Times New Roman" w:cs="Arial"/>
                <w:lang w:eastAsia="en-GB"/>
              </w:rPr>
              <w:t>21,665</w:t>
            </w:r>
          </w:p>
        </w:tc>
      </w:tr>
    </w:tbl>
    <w:p w14:paraId="4ACDC364" w14:textId="77777777" w:rsidR="00745560" w:rsidRPr="00745560" w:rsidRDefault="00745560" w:rsidP="00745560">
      <w:pPr>
        <w:spacing w:after="0" w:line="240" w:lineRule="auto"/>
        <w:ind w:left="0" w:firstLine="0"/>
        <w:rPr>
          <w:rFonts w:eastAsia="Times New Roman" w:cs="Arial"/>
          <w:lang w:eastAsia="en-GB"/>
        </w:rPr>
      </w:pPr>
    </w:p>
    <w:p w14:paraId="20ECB44A" w14:textId="77777777" w:rsidR="0011497B" w:rsidRDefault="002752AB" w:rsidP="0011497B">
      <w:pPr>
        <w:pStyle w:val="ListParagraph"/>
      </w:pPr>
      <w:r>
        <w:t>The proportion of Black children given a caution or sentence is almost three times higher than the proportion of Black children in the 10-17 population, and this has increased over the past 10 years.</w:t>
      </w:r>
    </w:p>
    <w:p w14:paraId="0426A020" w14:textId="77777777" w:rsidR="0011497B" w:rsidRDefault="0011497B" w:rsidP="0011497B">
      <w:pPr>
        <w:pStyle w:val="ListParagraph"/>
        <w:numPr>
          <w:ilvl w:val="0"/>
          <w:numId w:val="0"/>
        </w:numPr>
        <w:ind w:left="360"/>
        <w:rPr>
          <w:rFonts w:eastAsia="Calibri" w:cs="Arial"/>
        </w:rPr>
      </w:pPr>
    </w:p>
    <w:p w14:paraId="3F6B196B" w14:textId="2F353306" w:rsidR="00745560" w:rsidRPr="0011497B" w:rsidRDefault="00B55F98" w:rsidP="0011497B">
      <w:pPr>
        <w:pStyle w:val="ListParagraph"/>
      </w:pPr>
      <w:r w:rsidRPr="0011497B">
        <w:t xml:space="preserve">The proportion of more serious offences </w:t>
      </w:r>
      <w:r w:rsidR="00193FD3" w:rsidRPr="0011497B">
        <w:t xml:space="preserve">(for example, robbery and violent crime) </w:t>
      </w:r>
      <w:r w:rsidRPr="0011497B">
        <w:t>was greater for those</w:t>
      </w:r>
      <w:r w:rsidR="00745560" w:rsidRPr="0011497B">
        <w:t>:</w:t>
      </w:r>
      <w:r w:rsidRPr="0011497B">
        <w:t xml:space="preserve"> </w:t>
      </w:r>
    </w:p>
    <w:p w14:paraId="34895839" w14:textId="77777777" w:rsidR="0011497B" w:rsidRDefault="00B55F98" w:rsidP="0011497B">
      <w:pPr>
        <w:pStyle w:val="ListParagraph"/>
        <w:numPr>
          <w:ilvl w:val="1"/>
          <w:numId w:val="22"/>
        </w:numPr>
        <w:spacing w:line="259" w:lineRule="auto"/>
        <w:ind w:left="993" w:hanging="556"/>
        <w:rPr>
          <w:rFonts w:eastAsia="Calibri" w:cs="Arial"/>
        </w:rPr>
      </w:pPr>
      <w:r w:rsidRPr="00745560">
        <w:rPr>
          <w:rFonts w:eastAsia="Calibri" w:cs="Arial"/>
        </w:rPr>
        <w:t xml:space="preserve">aged 15-17, </w:t>
      </w:r>
      <w:r w:rsidR="008A6B04" w:rsidRPr="00745560">
        <w:rPr>
          <w:rFonts w:eastAsia="Calibri" w:cs="Arial"/>
        </w:rPr>
        <w:t>(14% compared to 10% of offences committed by 10-14 year olds),</w:t>
      </w:r>
    </w:p>
    <w:p w14:paraId="3D8E8A6A" w14:textId="77777777" w:rsidR="0011497B" w:rsidRDefault="008A6B04" w:rsidP="0011497B">
      <w:pPr>
        <w:pStyle w:val="ListParagraph"/>
        <w:numPr>
          <w:ilvl w:val="1"/>
          <w:numId w:val="22"/>
        </w:numPr>
        <w:spacing w:line="259" w:lineRule="auto"/>
        <w:ind w:left="993" w:hanging="556"/>
        <w:rPr>
          <w:rFonts w:eastAsia="Calibri" w:cs="Arial"/>
        </w:rPr>
      </w:pPr>
      <w:r w:rsidRPr="0011497B">
        <w:rPr>
          <w:rFonts w:eastAsia="Calibri" w:cs="Arial"/>
        </w:rPr>
        <w:t>black children (23%, with other ethnic groups ranging from 11% to 22%), and</w:t>
      </w:r>
    </w:p>
    <w:p w14:paraId="38F14DEE" w14:textId="40443D72" w:rsidR="00B55F98" w:rsidRDefault="00745560" w:rsidP="0011497B">
      <w:pPr>
        <w:pStyle w:val="ListParagraph"/>
        <w:numPr>
          <w:ilvl w:val="1"/>
          <w:numId w:val="22"/>
        </w:numPr>
        <w:spacing w:line="259" w:lineRule="auto"/>
        <w:ind w:left="993" w:hanging="556"/>
        <w:rPr>
          <w:rFonts w:eastAsia="Calibri" w:cs="Arial"/>
        </w:rPr>
      </w:pPr>
      <w:r w:rsidRPr="0011497B">
        <w:rPr>
          <w:rFonts w:eastAsia="Calibri" w:cs="Arial"/>
        </w:rPr>
        <w:t>b</w:t>
      </w:r>
      <w:r w:rsidR="008A6B04" w:rsidRPr="0011497B">
        <w:rPr>
          <w:rFonts w:eastAsia="Calibri" w:cs="Arial"/>
        </w:rPr>
        <w:t>oys (15%, compared to 5% for girls).</w:t>
      </w:r>
    </w:p>
    <w:p w14:paraId="14F6199B" w14:textId="77777777" w:rsidR="00E9207A" w:rsidRPr="0011497B" w:rsidRDefault="00E9207A" w:rsidP="00E9207A">
      <w:pPr>
        <w:pStyle w:val="ListParagraph"/>
        <w:numPr>
          <w:ilvl w:val="0"/>
          <w:numId w:val="0"/>
        </w:numPr>
        <w:spacing w:line="259" w:lineRule="auto"/>
        <w:ind w:left="993"/>
        <w:rPr>
          <w:rFonts w:eastAsia="Calibri" w:cs="Arial"/>
        </w:rPr>
      </w:pPr>
    </w:p>
    <w:p w14:paraId="24E79B5E" w14:textId="42432955" w:rsidR="006777A0" w:rsidRDefault="00B55F98" w:rsidP="0011497B">
      <w:pPr>
        <w:pStyle w:val="ListParagraph"/>
      </w:pPr>
      <w:r w:rsidRPr="006777A0">
        <w:rPr>
          <w:noProof/>
        </w:rPr>
        <w:lastRenderedPageBreak/>
        <w:drawing>
          <wp:anchor distT="0" distB="0" distL="114300" distR="114300" simplePos="0" relativeHeight="251662336" behindDoc="1" locked="0" layoutInCell="1" allowOverlap="1" wp14:anchorId="1BA4EE09" wp14:editId="31A309B5">
            <wp:simplePos x="0" y="0"/>
            <wp:positionH relativeFrom="column">
              <wp:posOffset>6350</wp:posOffset>
            </wp:positionH>
            <wp:positionV relativeFrom="paragraph">
              <wp:posOffset>471170</wp:posOffset>
            </wp:positionV>
            <wp:extent cx="5731510" cy="2950845"/>
            <wp:effectExtent l="0" t="0" r="2540" b="1905"/>
            <wp:wrapTight wrapText="bothSides">
              <wp:wrapPolygon edited="0">
                <wp:start x="0" y="0"/>
                <wp:lineTo x="0" y="21474"/>
                <wp:lineTo x="21538" y="21474"/>
                <wp:lineTo x="21538" y="0"/>
                <wp:lineTo x="0" y="0"/>
              </wp:wrapPolygon>
            </wp:wrapTight>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jb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950845"/>
                    </a:xfrm>
                    <a:prstGeom prst="rect">
                      <a:avLst/>
                    </a:prstGeom>
                  </pic:spPr>
                </pic:pic>
              </a:graphicData>
            </a:graphic>
            <wp14:sizeRelH relativeFrom="page">
              <wp14:pctWidth>0</wp14:pctWidth>
            </wp14:sizeRelH>
            <wp14:sizeRelV relativeFrom="page">
              <wp14:pctHeight>0</wp14:pctHeight>
            </wp14:sizeRelV>
          </wp:anchor>
        </w:drawing>
      </w:r>
      <w:r w:rsidRPr="00B55F98">
        <w:t>There has been a significant reduction in the number of child</w:t>
      </w:r>
      <w:r w:rsidR="003B3F7E">
        <w:t xml:space="preserve">ren receiving cautions or sentences </w:t>
      </w:r>
      <w:r w:rsidRPr="00B55F98">
        <w:t>over the past 10 years. This is seen across all age groups</w:t>
      </w:r>
      <w:r w:rsidR="009B03F7">
        <w:t>:</w:t>
      </w:r>
      <w:r w:rsidRPr="00B55F98">
        <w:t xml:space="preserve"> </w:t>
      </w:r>
    </w:p>
    <w:p w14:paraId="525BBF6A" w14:textId="135ED980" w:rsidR="009A08B4" w:rsidRDefault="005044E1" w:rsidP="00E9207A">
      <w:pPr>
        <w:pStyle w:val="ListParagraph"/>
      </w:pPr>
      <w:r>
        <w:t>The</w:t>
      </w:r>
      <w:r w:rsidR="005D4092">
        <w:t xml:space="preserve"> chart below shows the number of children in secure provision. The numbers of children below 14 are low, with a high of 28 in January last year. </w:t>
      </w:r>
    </w:p>
    <w:p w14:paraId="0E29C80D" w14:textId="53A74054" w:rsidR="00745560" w:rsidRDefault="00745560" w:rsidP="006777A0">
      <w:pPr>
        <w:spacing w:line="259" w:lineRule="auto"/>
        <w:ind w:left="0" w:firstLine="0"/>
        <w:rPr>
          <w:rFonts w:eastAsia="Calibri" w:cs="Arial"/>
        </w:rPr>
      </w:pPr>
      <w:r w:rsidRPr="005044E1">
        <w:rPr>
          <w:rFonts w:eastAsia="Calibri" w:cs="Arial"/>
          <w:noProof/>
        </w:rPr>
        <w:drawing>
          <wp:anchor distT="0" distB="0" distL="114300" distR="114300" simplePos="0" relativeHeight="251663360" behindDoc="1" locked="0" layoutInCell="1" allowOverlap="1" wp14:anchorId="2D01FE15" wp14:editId="23032163">
            <wp:simplePos x="0" y="0"/>
            <wp:positionH relativeFrom="margin">
              <wp:posOffset>68897</wp:posOffset>
            </wp:positionH>
            <wp:positionV relativeFrom="paragraph">
              <wp:posOffset>258127</wp:posOffset>
            </wp:positionV>
            <wp:extent cx="5731510" cy="1926590"/>
            <wp:effectExtent l="0" t="0" r="2540" b="0"/>
            <wp:wrapTight wrapText="bothSides">
              <wp:wrapPolygon edited="0">
                <wp:start x="0" y="0"/>
                <wp:lineTo x="0" y="21358"/>
                <wp:lineTo x="21538" y="21358"/>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926590"/>
                    </a:xfrm>
                    <a:prstGeom prst="rect">
                      <a:avLst/>
                    </a:prstGeom>
                  </pic:spPr>
                </pic:pic>
              </a:graphicData>
            </a:graphic>
            <wp14:sizeRelH relativeFrom="page">
              <wp14:pctWidth>0</wp14:pctWidth>
            </wp14:sizeRelH>
            <wp14:sizeRelV relativeFrom="page">
              <wp14:pctHeight>0</wp14:pctHeight>
            </wp14:sizeRelV>
          </wp:anchor>
        </w:drawing>
      </w:r>
    </w:p>
    <w:p w14:paraId="49C06060" w14:textId="11A7E097" w:rsidR="00745560" w:rsidRDefault="00745560" w:rsidP="006777A0">
      <w:pPr>
        <w:spacing w:line="259" w:lineRule="auto"/>
        <w:ind w:left="0" w:firstLine="0"/>
        <w:rPr>
          <w:rFonts w:eastAsia="Calibri" w:cs="Arial"/>
        </w:rPr>
      </w:pPr>
    </w:p>
    <w:p w14:paraId="4C1294BE" w14:textId="77777777" w:rsidR="00746B2F" w:rsidRPr="00746B2F" w:rsidRDefault="00746B2F" w:rsidP="00746B2F">
      <w:pPr>
        <w:ind w:left="0" w:firstLine="0"/>
        <w:rPr>
          <w:b/>
          <w:bCs/>
        </w:rPr>
      </w:pPr>
      <w:r>
        <w:rPr>
          <w:b/>
          <w:bCs/>
        </w:rPr>
        <w:t>Child development</w:t>
      </w:r>
    </w:p>
    <w:p w14:paraId="530CF042" w14:textId="326A07BE" w:rsidR="00E9207A" w:rsidRDefault="00746B2F" w:rsidP="00E9207A">
      <w:pPr>
        <w:pStyle w:val="ListParagraph"/>
      </w:pPr>
      <w:r>
        <w:t xml:space="preserve">There is a wealth of evidence that suggests that a 10-year-old’s brain is not developed with regards to both committing something that could be perceived as a criminal act, but also how to manage the experience in the criminal justice system. </w:t>
      </w:r>
    </w:p>
    <w:p w14:paraId="28B7CFDA" w14:textId="77777777" w:rsidR="00E9207A" w:rsidRDefault="00E9207A" w:rsidP="00E9207A">
      <w:pPr>
        <w:pStyle w:val="ListParagraph"/>
        <w:numPr>
          <w:ilvl w:val="0"/>
          <w:numId w:val="0"/>
        </w:numPr>
        <w:ind w:left="360"/>
      </w:pPr>
    </w:p>
    <w:p w14:paraId="7A67A03F" w14:textId="6CDC1B37" w:rsidR="00746B2F" w:rsidRPr="00E9207A" w:rsidRDefault="00746B2F" w:rsidP="00E9207A">
      <w:pPr>
        <w:pStyle w:val="ListParagraph"/>
      </w:pPr>
      <w:r w:rsidRPr="00E9207A">
        <w:rPr>
          <w:rFonts w:eastAsia="Calibri" w:cs="Arial"/>
        </w:rPr>
        <w:t>Evidence drawn from the House of Parliament, Age of Criminal Responsibility Briefing Paper (2018) highlights that brain imaging has shown that brain development, especially in the regions involved in decision-making, does not stop in childhood but continues into adulthood.</w:t>
      </w:r>
    </w:p>
    <w:p w14:paraId="5FFE563D" w14:textId="77777777" w:rsidR="00746B2F" w:rsidRPr="005B4ECF" w:rsidRDefault="00746B2F" w:rsidP="00746B2F">
      <w:pPr>
        <w:spacing w:after="0" w:line="259" w:lineRule="auto"/>
        <w:ind w:left="0" w:firstLine="0"/>
        <w:rPr>
          <w:rFonts w:eastAsia="Calibri" w:cs="Arial"/>
        </w:rPr>
      </w:pPr>
    </w:p>
    <w:p w14:paraId="5505E790" w14:textId="77777777" w:rsidR="00E9207A" w:rsidRDefault="00746B2F" w:rsidP="00E9207A">
      <w:pPr>
        <w:pStyle w:val="ListParagraph"/>
        <w:numPr>
          <w:ilvl w:val="1"/>
          <w:numId w:val="23"/>
        </w:numPr>
        <w:spacing w:after="0" w:line="259" w:lineRule="auto"/>
        <w:ind w:left="851" w:hanging="567"/>
        <w:rPr>
          <w:rFonts w:eastAsia="Calibri" w:cs="Arial"/>
        </w:rPr>
      </w:pPr>
      <w:r w:rsidRPr="00E9207A">
        <w:rPr>
          <w:rFonts w:eastAsia="Calibri" w:cs="Arial"/>
        </w:rPr>
        <w:t>The prefrontal cortex (PFC) controls high-level cognitive and executive functions such as decision-making, planning, social interaction and inhibiting risk behaviours. It undergoes significant change during adolescence and is one of the last areas of the brain to reach full maturation.</w:t>
      </w:r>
    </w:p>
    <w:p w14:paraId="28EA1F5E" w14:textId="77777777" w:rsidR="00E9207A" w:rsidRDefault="00746B2F" w:rsidP="00E9207A">
      <w:pPr>
        <w:pStyle w:val="ListParagraph"/>
        <w:numPr>
          <w:ilvl w:val="1"/>
          <w:numId w:val="23"/>
        </w:numPr>
        <w:spacing w:after="0" w:line="259" w:lineRule="auto"/>
        <w:ind w:left="851" w:hanging="567"/>
        <w:rPr>
          <w:rFonts w:eastAsia="Calibri" w:cs="Arial"/>
        </w:rPr>
      </w:pPr>
      <w:r w:rsidRPr="00E9207A">
        <w:rPr>
          <w:rFonts w:eastAsia="Calibri" w:cs="Arial"/>
        </w:rPr>
        <w:t>The amygdala and the ventral striatum are associated with risk and reward. They undergo rapid development, thought to be triggered by puberty, and become hyper-responsive in adolescence.</w:t>
      </w:r>
    </w:p>
    <w:p w14:paraId="2D23BBA8" w14:textId="77777777" w:rsidR="00E9207A" w:rsidRDefault="00746B2F" w:rsidP="00E9207A">
      <w:pPr>
        <w:pStyle w:val="ListParagraph"/>
        <w:numPr>
          <w:ilvl w:val="1"/>
          <w:numId w:val="23"/>
        </w:numPr>
        <w:spacing w:after="0" w:line="259" w:lineRule="auto"/>
        <w:ind w:left="851" w:hanging="567"/>
        <w:rPr>
          <w:rFonts w:eastAsia="Calibri" w:cs="Arial"/>
        </w:rPr>
      </w:pPr>
      <w:r w:rsidRPr="00E9207A">
        <w:rPr>
          <w:rFonts w:eastAsia="Calibri" w:cs="Arial"/>
        </w:rPr>
        <w:t>The “dual systems” model proposes that the later development of the “control system” (PFC) compared to the “reward system” leads to a window of vulnerability to risk behaviours over which adolescents have less control than adults.</w:t>
      </w:r>
    </w:p>
    <w:p w14:paraId="72F3FB14" w14:textId="77777777" w:rsidR="00E9207A" w:rsidRDefault="00746B2F" w:rsidP="00E9207A">
      <w:pPr>
        <w:pStyle w:val="ListParagraph"/>
        <w:numPr>
          <w:ilvl w:val="1"/>
          <w:numId w:val="23"/>
        </w:numPr>
        <w:spacing w:after="0" w:line="259" w:lineRule="auto"/>
        <w:ind w:left="851" w:hanging="567"/>
        <w:rPr>
          <w:rFonts w:eastAsia="Calibri" w:cs="Arial"/>
        </w:rPr>
      </w:pPr>
      <w:r w:rsidRPr="00E9207A">
        <w:rPr>
          <w:rFonts w:eastAsia="Calibri" w:cs="Arial"/>
        </w:rPr>
        <w:t>The white matter (connections between the different parts of the brain) also increase throughout adolescence and into the third or fourth decade of life. This is thought to represent a “speeding up” in the transmission of information throughout the brain.</w:t>
      </w:r>
    </w:p>
    <w:p w14:paraId="705D1E4A" w14:textId="1F5AA18A" w:rsidR="00746B2F" w:rsidRPr="00E9207A" w:rsidRDefault="00746B2F" w:rsidP="00E9207A">
      <w:pPr>
        <w:pStyle w:val="ListParagraph"/>
        <w:numPr>
          <w:ilvl w:val="1"/>
          <w:numId w:val="23"/>
        </w:numPr>
        <w:spacing w:after="0" w:line="259" w:lineRule="auto"/>
        <w:ind w:left="851" w:hanging="567"/>
        <w:rPr>
          <w:rFonts w:eastAsia="Calibri" w:cs="Arial"/>
        </w:rPr>
      </w:pPr>
      <w:r w:rsidRPr="00E9207A">
        <w:rPr>
          <w:rFonts w:eastAsia="Calibri" w:cs="Arial"/>
        </w:rPr>
        <w:t>The grey matter (synapses) increases in childhood before decreasing during adolescence (synaptic pruning), especially in the PFC. This is thought to represent “fine-tuning” of the brain according to the environment</w:t>
      </w:r>
      <w:r w:rsidRPr="005B4ECF">
        <w:rPr>
          <w:vertAlign w:val="superscript"/>
        </w:rPr>
        <w:endnoteReference w:id="7"/>
      </w:r>
    </w:p>
    <w:p w14:paraId="3F6001F5" w14:textId="77777777" w:rsidR="00746B2F" w:rsidRDefault="00746B2F" w:rsidP="00746B2F">
      <w:pPr>
        <w:spacing w:line="259" w:lineRule="auto"/>
        <w:contextualSpacing/>
        <w:rPr>
          <w:rFonts w:eastAsia="Calibri" w:cs="Arial"/>
        </w:rPr>
      </w:pPr>
    </w:p>
    <w:p w14:paraId="0848BA37" w14:textId="1B6E0DC7" w:rsidR="00746B2F" w:rsidRPr="00E9207A" w:rsidRDefault="00746B2F" w:rsidP="00E9207A">
      <w:pPr>
        <w:pStyle w:val="ListParagraph"/>
      </w:pPr>
      <w:r>
        <w:t>T</w:t>
      </w:r>
      <w:r w:rsidRPr="005B4ECF">
        <w:t>he difficulty in identifying an age at which children achieve these capacities is wel</w:t>
      </w:r>
      <w:r>
        <w:t xml:space="preserve">l </w:t>
      </w:r>
      <w:r w:rsidRPr="005B4ECF">
        <w:t>recognised but 10 years has been considered too low</w:t>
      </w:r>
      <w:r>
        <w:t xml:space="preserve"> by a range of professionals</w:t>
      </w:r>
      <w:r w:rsidRPr="005B4ECF">
        <w:t>.</w:t>
      </w:r>
      <w:r w:rsidR="00E9207A">
        <w:t xml:space="preserve"> </w:t>
      </w:r>
      <w:r w:rsidRPr="00E9207A">
        <w:rPr>
          <w:rFonts w:eastAsia="Calibri" w:cs="Arial"/>
        </w:rPr>
        <w:t>In general research indicates that:</w:t>
      </w:r>
    </w:p>
    <w:p w14:paraId="68133CF8" w14:textId="77777777" w:rsidR="00E9207A" w:rsidRPr="00E9207A" w:rsidRDefault="00E9207A" w:rsidP="00E9207A">
      <w:pPr>
        <w:pStyle w:val="ListParagraph"/>
        <w:numPr>
          <w:ilvl w:val="0"/>
          <w:numId w:val="0"/>
        </w:numPr>
        <w:ind w:left="360"/>
      </w:pPr>
    </w:p>
    <w:p w14:paraId="378E9816" w14:textId="77777777" w:rsidR="00E9207A" w:rsidRDefault="00746B2F" w:rsidP="00E9207A">
      <w:pPr>
        <w:pStyle w:val="ListParagraph"/>
        <w:numPr>
          <w:ilvl w:val="1"/>
          <w:numId w:val="24"/>
        </w:numPr>
        <w:spacing w:line="259" w:lineRule="auto"/>
        <w:ind w:left="851" w:hanging="567"/>
        <w:rPr>
          <w:rFonts w:eastAsia="Calibri" w:cs="Arial"/>
        </w:rPr>
      </w:pPr>
      <w:r w:rsidRPr="00E9207A">
        <w:rPr>
          <w:rFonts w:eastAsia="Calibri" w:cs="Arial"/>
        </w:rPr>
        <w:t>conventional morality, including “law and order” morality is generally not achieved until mid-teens.</w:t>
      </w:r>
    </w:p>
    <w:p w14:paraId="5C3FD43C" w14:textId="77777777" w:rsidR="00E9207A" w:rsidRDefault="00746B2F" w:rsidP="00E9207A">
      <w:pPr>
        <w:pStyle w:val="ListParagraph"/>
        <w:numPr>
          <w:ilvl w:val="1"/>
          <w:numId w:val="24"/>
        </w:numPr>
        <w:spacing w:line="259" w:lineRule="auto"/>
        <w:ind w:left="851" w:hanging="567"/>
        <w:rPr>
          <w:rFonts w:eastAsia="Calibri" w:cs="Arial"/>
        </w:rPr>
      </w:pPr>
      <w:r w:rsidRPr="00E9207A">
        <w:rPr>
          <w:rFonts w:eastAsia="Calibri" w:cs="Arial"/>
        </w:rPr>
        <w:t>logical thinking and problem solving abilities develop considerably between 11–15 years.</w:t>
      </w:r>
    </w:p>
    <w:p w14:paraId="7F43C471" w14:textId="77777777" w:rsidR="00E9207A" w:rsidRDefault="00746B2F" w:rsidP="00E9207A">
      <w:pPr>
        <w:pStyle w:val="ListParagraph"/>
        <w:numPr>
          <w:ilvl w:val="1"/>
          <w:numId w:val="24"/>
        </w:numPr>
        <w:spacing w:line="259" w:lineRule="auto"/>
        <w:ind w:left="851" w:hanging="567"/>
        <w:rPr>
          <w:rFonts w:eastAsia="Calibri" w:cs="Arial"/>
        </w:rPr>
      </w:pPr>
      <w:r w:rsidRPr="00E9207A">
        <w:rPr>
          <w:rFonts w:eastAsia="Calibri" w:cs="Arial"/>
        </w:rPr>
        <w:t>adolescent intellectual abilities are thought to reach adult levels only by the age of 17 years.</w:t>
      </w:r>
    </w:p>
    <w:p w14:paraId="1D2FD81F" w14:textId="05A9CF7D" w:rsidR="00746B2F" w:rsidRDefault="00746B2F" w:rsidP="00E9207A">
      <w:pPr>
        <w:pStyle w:val="ListParagraph"/>
        <w:numPr>
          <w:ilvl w:val="1"/>
          <w:numId w:val="24"/>
        </w:numPr>
        <w:spacing w:line="259" w:lineRule="auto"/>
        <w:ind w:left="851" w:hanging="567"/>
        <w:rPr>
          <w:rFonts w:eastAsia="Calibri" w:cs="Arial"/>
        </w:rPr>
      </w:pPr>
      <w:r w:rsidRPr="00E9207A">
        <w:rPr>
          <w:rFonts w:eastAsia="Calibri" w:cs="Arial"/>
        </w:rPr>
        <w:t>children who are abused or neglected are particularly poorly developed in the required capacities for criminal responsibility and are much more likely to come into conflict with the law.</w:t>
      </w:r>
    </w:p>
    <w:p w14:paraId="5E89A9FA" w14:textId="77777777" w:rsidR="00E9207A" w:rsidRPr="00E9207A" w:rsidRDefault="00E9207A" w:rsidP="00E9207A">
      <w:pPr>
        <w:pStyle w:val="ListParagraph"/>
        <w:numPr>
          <w:ilvl w:val="0"/>
          <w:numId w:val="0"/>
        </w:numPr>
        <w:spacing w:line="259" w:lineRule="auto"/>
        <w:ind w:left="851"/>
        <w:rPr>
          <w:rFonts w:eastAsia="Calibri" w:cs="Arial"/>
        </w:rPr>
      </w:pPr>
    </w:p>
    <w:p w14:paraId="4F82E352" w14:textId="3E9577A1" w:rsidR="00746B2F" w:rsidRDefault="00746B2F" w:rsidP="00E9207A">
      <w:pPr>
        <w:pStyle w:val="ListParagraph"/>
      </w:pPr>
      <w:r>
        <w:t>C</w:t>
      </w:r>
      <w:r w:rsidRPr="00F40EF5">
        <w:t>hildren and adolescents are significantly less competent to participate (for example, to decide how to plead, instruct lawyers and respond to cross-examination) in criminal justice proceedings. They are more likely to make false confessions,</w:t>
      </w:r>
      <w:r>
        <w:t xml:space="preserve"> </w:t>
      </w:r>
      <w:r w:rsidRPr="00F40EF5">
        <w:t>and have limited capacity to understand and follow court processes as well as the significance of questions asked and answers given. Without competence, the likelihood of determining the truth and achieving justice is decre</w:t>
      </w:r>
      <w:r>
        <w:t>a</w:t>
      </w:r>
      <w:r w:rsidRPr="00F40EF5">
        <w:t>sed</w:t>
      </w:r>
      <w:r>
        <w:t>.</w:t>
      </w:r>
      <w:r>
        <w:rPr>
          <w:rStyle w:val="EndnoteReference"/>
        </w:rPr>
        <w:endnoteReference w:id="8"/>
      </w:r>
    </w:p>
    <w:p w14:paraId="6B579442" w14:textId="77777777" w:rsidR="00746B2F" w:rsidRPr="00CB2D9E" w:rsidRDefault="00746B2F" w:rsidP="00746B2F">
      <w:pPr>
        <w:spacing w:line="259" w:lineRule="auto"/>
        <w:ind w:left="0" w:firstLine="0"/>
        <w:contextualSpacing/>
        <w:rPr>
          <w:rFonts w:eastAsia="Calibri" w:cs="Arial"/>
        </w:rPr>
      </w:pPr>
    </w:p>
    <w:p w14:paraId="6AA069F3" w14:textId="665BD112" w:rsidR="00906C39" w:rsidRDefault="00906C39" w:rsidP="00192B55">
      <w:pPr>
        <w:spacing w:line="259" w:lineRule="auto"/>
        <w:ind w:left="0" w:firstLine="0"/>
        <w:contextualSpacing/>
        <w:rPr>
          <w:rFonts w:eastAsia="Calibri" w:cs="Arial"/>
          <w:b/>
          <w:bCs/>
        </w:rPr>
      </w:pPr>
      <w:r>
        <w:rPr>
          <w:rFonts w:eastAsia="Calibri" w:cs="Arial"/>
          <w:b/>
          <w:bCs/>
        </w:rPr>
        <w:t>The criminal justice system (CJS) process</w:t>
      </w:r>
    </w:p>
    <w:p w14:paraId="2E7FEFDB" w14:textId="2C17C20E" w:rsidR="008A6B04" w:rsidRDefault="008A6B04" w:rsidP="00E9207A">
      <w:pPr>
        <w:pStyle w:val="ListParagraph"/>
      </w:pPr>
      <w:r>
        <w:t xml:space="preserve">Board members requested further information about the process </w:t>
      </w:r>
      <w:r w:rsidR="00192B55">
        <w:t>of</w:t>
      </w:r>
      <w:r>
        <w:t xml:space="preserve"> the criminal justice system.</w:t>
      </w:r>
    </w:p>
    <w:p w14:paraId="6DA7C5CE" w14:textId="342049A2" w:rsidR="008A6B04" w:rsidRPr="008A6B04" w:rsidRDefault="008A6B04" w:rsidP="008A6B04">
      <w:pPr>
        <w:spacing w:line="259" w:lineRule="auto"/>
        <w:contextualSpacing/>
        <w:rPr>
          <w:rFonts w:eastAsia="Calibri" w:cs="Arial"/>
        </w:rPr>
      </w:pPr>
    </w:p>
    <w:p w14:paraId="395B0666" w14:textId="77777777" w:rsidR="003D01F3" w:rsidRDefault="009A1308" w:rsidP="003D01F3">
      <w:pPr>
        <w:pStyle w:val="ListParagraph"/>
        <w:numPr>
          <w:ilvl w:val="1"/>
          <w:numId w:val="25"/>
        </w:numPr>
        <w:spacing w:line="259" w:lineRule="auto"/>
        <w:ind w:left="851" w:hanging="573"/>
        <w:rPr>
          <w:rFonts w:eastAsia="Calibri" w:cs="Arial"/>
        </w:rPr>
      </w:pPr>
      <w:r w:rsidRPr="00E9207A">
        <w:rPr>
          <w:rFonts w:eastAsia="Calibri" w:cs="Arial"/>
        </w:rPr>
        <w:t>Children under 10 cannot be arrested or charged with a crime.</w:t>
      </w:r>
    </w:p>
    <w:p w14:paraId="662A87E9" w14:textId="77777777" w:rsidR="003D01F3" w:rsidRDefault="009A1308" w:rsidP="003D01F3">
      <w:pPr>
        <w:pStyle w:val="ListParagraph"/>
        <w:numPr>
          <w:ilvl w:val="1"/>
          <w:numId w:val="25"/>
        </w:numPr>
        <w:spacing w:line="259" w:lineRule="auto"/>
        <w:ind w:left="851" w:hanging="573"/>
        <w:rPr>
          <w:rFonts w:eastAsia="Calibri" w:cs="Arial"/>
        </w:rPr>
      </w:pPr>
      <w:r w:rsidRPr="003D01F3">
        <w:rPr>
          <w:rFonts w:eastAsia="Calibri" w:cs="Arial"/>
        </w:rPr>
        <w:t>Children from 10 to 17 years old will be treated as ‘young offenders’ and all but the most serious criminal cases will be dealt with by the youth courts. If the child has committed an offence and an adult was also involved then the court proceedings can be held in either the magistrate’s or the Crown court.</w:t>
      </w:r>
    </w:p>
    <w:p w14:paraId="391CD4E7" w14:textId="77777777" w:rsidR="003D01F3" w:rsidRDefault="009A1308" w:rsidP="003D01F3">
      <w:pPr>
        <w:pStyle w:val="ListParagraph"/>
        <w:numPr>
          <w:ilvl w:val="1"/>
          <w:numId w:val="25"/>
        </w:numPr>
        <w:spacing w:line="259" w:lineRule="auto"/>
        <w:ind w:left="851" w:hanging="573"/>
        <w:rPr>
          <w:rFonts w:eastAsia="Calibri" w:cs="Arial"/>
        </w:rPr>
      </w:pPr>
      <w:r w:rsidRPr="003D01F3">
        <w:rPr>
          <w:rFonts w:eastAsia="Calibri" w:cs="Arial"/>
        </w:rPr>
        <w:t>Children under 10 who come to the attention of the police may be asked to attend a ‘safeguarding interview’ following consultation between the police and social services. The interview is designed to provide ‘words of advice’ to the parent and child regarding the child’s future conduct.</w:t>
      </w:r>
    </w:p>
    <w:p w14:paraId="4B361687" w14:textId="4DFF30B4" w:rsidR="00CB2D9E" w:rsidRDefault="009A1308" w:rsidP="003D01F3">
      <w:pPr>
        <w:pStyle w:val="ListParagraph"/>
        <w:numPr>
          <w:ilvl w:val="1"/>
          <w:numId w:val="25"/>
        </w:numPr>
        <w:spacing w:line="259" w:lineRule="auto"/>
        <w:ind w:left="851" w:hanging="573"/>
        <w:rPr>
          <w:rFonts w:eastAsia="Calibri" w:cs="Arial"/>
        </w:rPr>
      </w:pPr>
      <w:r w:rsidRPr="003D01F3">
        <w:rPr>
          <w:rFonts w:eastAsia="Calibri" w:cs="Arial"/>
        </w:rPr>
        <w:t>Secure Training Centres</w:t>
      </w:r>
      <w:r w:rsidRPr="003D01F3">
        <w:rPr>
          <w:rFonts w:eastAsia="Calibri" w:cs="Arial"/>
          <w:b/>
          <w:bCs/>
        </w:rPr>
        <w:t xml:space="preserve"> </w:t>
      </w:r>
      <w:r w:rsidRPr="003D01F3">
        <w:rPr>
          <w:rFonts w:eastAsia="Calibri" w:cs="Arial"/>
        </w:rPr>
        <w:t xml:space="preserve">and Youth Offending </w:t>
      </w:r>
      <w:r w:rsidR="005B4ECF" w:rsidRPr="003D01F3">
        <w:rPr>
          <w:rFonts w:eastAsia="Calibri" w:cs="Arial"/>
        </w:rPr>
        <w:t>Institutions</w:t>
      </w:r>
      <w:r w:rsidRPr="003D01F3">
        <w:rPr>
          <w:rFonts w:eastAsia="Calibri" w:cs="Arial"/>
        </w:rPr>
        <w:t xml:space="preserve"> only take offenders aged 12–18 and 15–21 respectively</w:t>
      </w:r>
      <w:r w:rsidR="008A6B04" w:rsidRPr="003D01F3">
        <w:rPr>
          <w:rFonts w:eastAsia="Calibri" w:cs="Arial"/>
        </w:rPr>
        <w:t>.</w:t>
      </w:r>
      <w:r w:rsidR="00193FD3" w:rsidRPr="003D01F3">
        <w:rPr>
          <w:rFonts w:eastAsia="Calibri" w:cs="Arial"/>
        </w:rPr>
        <w:t xml:space="preserve"> Children under the age of 12 are be placed in secure children’s homes </w:t>
      </w:r>
      <w:r w:rsidR="00566B66" w:rsidRPr="003D01F3">
        <w:rPr>
          <w:rFonts w:eastAsia="Calibri" w:cs="Arial"/>
        </w:rPr>
        <w:t xml:space="preserve">if in custody.  </w:t>
      </w:r>
    </w:p>
    <w:p w14:paraId="51FC4E51" w14:textId="77777777" w:rsidR="003D01F3" w:rsidRPr="003D01F3" w:rsidRDefault="003D01F3" w:rsidP="003D01F3">
      <w:pPr>
        <w:pStyle w:val="ListParagraph"/>
        <w:numPr>
          <w:ilvl w:val="0"/>
          <w:numId w:val="0"/>
        </w:numPr>
        <w:spacing w:line="259" w:lineRule="auto"/>
        <w:ind w:left="851"/>
        <w:rPr>
          <w:rFonts w:eastAsia="Calibri" w:cs="Arial"/>
        </w:rPr>
      </w:pPr>
    </w:p>
    <w:p w14:paraId="60FB304F" w14:textId="1E14720D" w:rsidR="00906C39" w:rsidRDefault="00906C39" w:rsidP="003D01F3">
      <w:pPr>
        <w:pStyle w:val="ListParagraph"/>
        <w:rPr>
          <w:shd w:val="clear" w:color="auto" w:fill="FFFFFF"/>
        </w:rPr>
      </w:pPr>
      <w:r>
        <w:t xml:space="preserve">Looking to the increase of children involved in child criminal </w:t>
      </w:r>
      <w:r w:rsidRPr="009B03F7">
        <w:t xml:space="preserve">exploitation such as county lines, protection is available under the Modern Slavery Act 2015. </w:t>
      </w:r>
      <w:r w:rsidRPr="009B03F7">
        <w:rPr>
          <w:shd w:val="clear" w:color="auto" w:fill="FFFFFF"/>
        </w:rPr>
        <w:t>Section 45 of the Act created a defence for child victims who commit certain offences as a direct consequence of being a victim of slavery / exploitation. This requires a positive conclusive grounds decision through the National Referral Mechanism to confirm the child was a victim of modern slavery. The Home Office will shortly launch a pilot scheme to devolve NRM decision-making to local authorities to try to speed up decision making and improve outcomes for children.</w:t>
      </w:r>
    </w:p>
    <w:p w14:paraId="71CBB436" w14:textId="1F792902" w:rsidR="00906C39" w:rsidRDefault="00906C39" w:rsidP="00CB2D9E">
      <w:pPr>
        <w:spacing w:line="259" w:lineRule="auto"/>
        <w:ind w:left="0" w:firstLine="0"/>
        <w:contextualSpacing/>
        <w:rPr>
          <w:rFonts w:eastAsia="Calibri" w:cs="Arial"/>
          <w:b/>
          <w:bCs/>
        </w:rPr>
      </w:pPr>
    </w:p>
    <w:p w14:paraId="0626F132" w14:textId="1E837093" w:rsidR="00906C39" w:rsidRPr="00906C39" w:rsidRDefault="00906C39" w:rsidP="00CB2D9E">
      <w:pPr>
        <w:spacing w:line="259" w:lineRule="auto"/>
        <w:ind w:left="0" w:firstLine="0"/>
        <w:contextualSpacing/>
        <w:rPr>
          <w:rFonts w:eastAsia="Calibri" w:cs="Arial"/>
          <w:b/>
          <w:bCs/>
        </w:rPr>
      </w:pPr>
      <w:r w:rsidRPr="00906C39">
        <w:rPr>
          <w:rFonts w:eastAsia="Calibri" w:cs="Arial"/>
          <w:b/>
          <w:bCs/>
        </w:rPr>
        <w:t>Consequences of involvement in the CJS</w:t>
      </w:r>
    </w:p>
    <w:p w14:paraId="631A1D79" w14:textId="77777777" w:rsidR="00906C39" w:rsidRDefault="00906C39" w:rsidP="00906C39">
      <w:pPr>
        <w:spacing w:after="0" w:line="240" w:lineRule="auto"/>
        <w:ind w:left="0" w:firstLine="0"/>
      </w:pPr>
    </w:p>
    <w:p w14:paraId="27064E32" w14:textId="0D7E4BC9" w:rsidR="00906C39" w:rsidRDefault="00906C39" w:rsidP="003D01F3">
      <w:pPr>
        <w:pStyle w:val="ListParagraph"/>
      </w:pPr>
      <w:r>
        <w:t>Evidence suggests that younger children have higher levels of re-offending and therefore repeated involvement in the CJS compared to children that have been involved in the CJS at a later age. The younger the child is when first having contact with juvenile justice, then the more likely it is the child will become entrenched in the justice system</w:t>
      </w:r>
      <w:r>
        <w:rPr>
          <w:rStyle w:val="EndnoteReference"/>
        </w:rPr>
        <w:endnoteReference w:id="9"/>
      </w:r>
    </w:p>
    <w:p w14:paraId="37F290DB" w14:textId="77777777" w:rsidR="00906C39" w:rsidRDefault="00906C39" w:rsidP="00906C39">
      <w:pPr>
        <w:spacing w:after="0" w:line="240" w:lineRule="auto"/>
        <w:ind w:left="0" w:firstLine="0"/>
      </w:pPr>
    </w:p>
    <w:p w14:paraId="6FAC0057" w14:textId="09DECF72" w:rsidR="00906C39" w:rsidRDefault="00906C39" w:rsidP="003D01F3">
      <w:pPr>
        <w:pStyle w:val="ListParagraph"/>
      </w:pPr>
      <w:r>
        <w:t>There is also a significant impact on the long term outcomes of children and young people. Involvement in the youth justice system reduces the likelihood that children will complete school and obtain educational qualifications. A criminal record also impacts directly on the chances of future employment. Children who have formal contact with the criminal justice system are less likely to be in work as young adults than those whose offending did not result in a formal sanction.</w:t>
      </w:r>
      <w:r>
        <w:rPr>
          <w:rStyle w:val="EndnoteReference"/>
        </w:rPr>
        <w:endnoteReference w:id="10"/>
      </w:r>
    </w:p>
    <w:p w14:paraId="377FCC05" w14:textId="77777777" w:rsidR="00906C39" w:rsidRDefault="00906C39" w:rsidP="009B03F7">
      <w:pPr>
        <w:ind w:left="0" w:firstLine="0"/>
        <w:rPr>
          <w:b/>
          <w:bCs/>
        </w:rPr>
      </w:pPr>
      <w:r>
        <w:rPr>
          <w:b/>
          <w:bCs/>
        </w:rPr>
        <w:t>Interventions for children under the age of criminal responsibility</w:t>
      </w:r>
    </w:p>
    <w:p w14:paraId="2BECED50" w14:textId="58254912" w:rsidR="00906C39" w:rsidRDefault="00906C39" w:rsidP="003D01F3">
      <w:pPr>
        <w:pStyle w:val="ListParagraph"/>
      </w:pPr>
      <w:r w:rsidRPr="00BB435B">
        <w:rPr>
          <w:rFonts w:eastAsia="Calibri" w:cs="Arial"/>
        </w:rPr>
        <w:t>Evidence suggests that</w:t>
      </w:r>
      <w:r>
        <w:rPr>
          <w:rFonts w:eastAsia="Calibri" w:cs="Arial"/>
          <w:b/>
          <w:bCs/>
        </w:rPr>
        <w:t xml:space="preserve"> </w:t>
      </w:r>
      <w:r>
        <w:t>c</w:t>
      </w:r>
      <w:r w:rsidRPr="009A1308">
        <w:t>ountries with a low ACR, including England and Wales, have the highest rates of child detention in penal institutions and the poorest outcomes with regards to rehabilitation and reoffending.</w:t>
      </w:r>
      <w:r w:rsidRPr="00DE6EE7">
        <w:t xml:space="preserve"> </w:t>
      </w:r>
      <w:r>
        <w:t>Involvement in t</w:t>
      </w:r>
      <w:r w:rsidRPr="00DE6EE7">
        <w:t xml:space="preserve">he youth justice system has been </w:t>
      </w:r>
      <w:r>
        <w:t>linked to an</w:t>
      </w:r>
      <w:r w:rsidRPr="00DE6EE7">
        <w:t xml:space="preserve"> increase the likelihood of offending. Robust welfare-based responses to the offending of less culpable children are therefore likely to be a more effective </w:t>
      </w:r>
      <w:r w:rsidRPr="00DE6EE7">
        <w:lastRenderedPageBreak/>
        <w:t>alternative to criminalisation, particularly as this cohort tends to have high welfare needs</w:t>
      </w:r>
      <w:r>
        <w:rPr>
          <w:rStyle w:val="EndnoteReference"/>
        </w:rPr>
        <w:endnoteReference w:id="11"/>
      </w:r>
      <w:r w:rsidRPr="00DE6EE7">
        <w:t>.</w:t>
      </w:r>
    </w:p>
    <w:p w14:paraId="2971295B" w14:textId="77777777" w:rsidR="00C43421" w:rsidRDefault="00C43421" w:rsidP="00C43421">
      <w:pPr>
        <w:pStyle w:val="ListParagraph"/>
        <w:numPr>
          <w:ilvl w:val="0"/>
          <w:numId w:val="0"/>
        </w:numPr>
        <w:ind w:left="360"/>
      </w:pPr>
    </w:p>
    <w:p w14:paraId="6B248EC0" w14:textId="17BB3459" w:rsidR="006A71AE" w:rsidRDefault="00906C39" w:rsidP="00C43421">
      <w:pPr>
        <w:pStyle w:val="ListParagraph"/>
        <w:rPr>
          <w:rFonts w:eastAsia="Calibri" w:cs="Arial"/>
          <w:b/>
          <w:bCs/>
        </w:rPr>
      </w:pPr>
      <w:r>
        <w:t>I</w:t>
      </w:r>
      <w:r w:rsidR="008A6B04">
        <w:t>n addition to enhanced social services</w:t>
      </w:r>
      <w:r w:rsidR="00192B55">
        <w:t xml:space="preserve"> involvement</w:t>
      </w:r>
      <w:r w:rsidR="008A6B04">
        <w:t xml:space="preserve"> or education support</w:t>
      </w:r>
      <w:r w:rsidR="009B03F7">
        <w:t xml:space="preserve"> and</w:t>
      </w:r>
      <w:r w:rsidR="008A6B04">
        <w:t xml:space="preserve"> parental implications, there are two methods available to local partners to support children under ten</w:t>
      </w:r>
      <w:r>
        <w:t xml:space="preserve"> (these are also available for children above the ACR)</w:t>
      </w:r>
      <w:r w:rsidR="008A6B04">
        <w:t>:</w:t>
      </w:r>
    </w:p>
    <w:p w14:paraId="3A8478A1" w14:textId="77777777" w:rsidR="006A71AE" w:rsidRDefault="006A71AE" w:rsidP="006A71AE">
      <w:pPr>
        <w:spacing w:line="259" w:lineRule="auto"/>
        <w:ind w:left="0" w:firstLine="0"/>
        <w:contextualSpacing/>
        <w:rPr>
          <w:rFonts w:eastAsia="Calibri" w:cs="Arial"/>
          <w:b/>
          <w:bCs/>
        </w:rPr>
      </w:pPr>
    </w:p>
    <w:p w14:paraId="4ECF1B90" w14:textId="3B64C153" w:rsidR="008A6B04" w:rsidRPr="006A71AE" w:rsidRDefault="008A6B04" w:rsidP="00C43421">
      <w:pPr>
        <w:pStyle w:val="ListParagraph"/>
        <w:rPr>
          <w:rFonts w:eastAsia="Calibri"/>
          <w:b/>
          <w:bCs/>
        </w:rPr>
      </w:pPr>
      <w:r w:rsidRPr="00137D1A">
        <w:t>Local Child Curfew</w:t>
      </w:r>
    </w:p>
    <w:p w14:paraId="14884577" w14:textId="77777777" w:rsidR="00C43421" w:rsidRDefault="008A6B04" w:rsidP="00C43421">
      <w:pPr>
        <w:pStyle w:val="ListParagraph"/>
        <w:numPr>
          <w:ilvl w:val="1"/>
          <w:numId w:val="26"/>
        </w:numPr>
        <w:spacing w:after="0" w:line="240" w:lineRule="auto"/>
        <w:ind w:left="993" w:hanging="573"/>
        <w:contextualSpacing w:val="0"/>
        <w:rPr>
          <w:rFonts w:cs="Arial"/>
        </w:rPr>
      </w:pPr>
      <w:r w:rsidRPr="00137D1A">
        <w:rPr>
          <w:rFonts w:cs="Arial"/>
        </w:rPr>
        <w:t>The police can ban children from being in a public place between 9pm and 6am, unless accompanied by an adult. This is called a Local Child Curfew and can last for up to 90 days.</w:t>
      </w:r>
    </w:p>
    <w:p w14:paraId="0184BB0C" w14:textId="21249C2E" w:rsidR="008A6B04" w:rsidRPr="00C43421" w:rsidRDefault="008A6B04" w:rsidP="00C43421">
      <w:pPr>
        <w:pStyle w:val="ListParagraph"/>
        <w:numPr>
          <w:ilvl w:val="1"/>
          <w:numId w:val="26"/>
        </w:numPr>
        <w:spacing w:after="0" w:line="240" w:lineRule="auto"/>
        <w:ind w:left="993" w:hanging="573"/>
        <w:contextualSpacing w:val="0"/>
        <w:rPr>
          <w:rFonts w:cs="Arial"/>
        </w:rPr>
      </w:pPr>
      <w:r w:rsidRPr="00C43421">
        <w:rPr>
          <w:rFonts w:cs="Arial"/>
        </w:rPr>
        <w:t>If a child breaks their curfew, they can be given a Child Safety Order.</w:t>
      </w:r>
    </w:p>
    <w:p w14:paraId="45423E8F" w14:textId="77777777" w:rsidR="00746B2F" w:rsidRPr="00137D1A" w:rsidRDefault="00746B2F" w:rsidP="00746B2F">
      <w:pPr>
        <w:pStyle w:val="ListParagraph"/>
        <w:numPr>
          <w:ilvl w:val="0"/>
          <w:numId w:val="0"/>
        </w:numPr>
        <w:spacing w:after="0" w:line="240" w:lineRule="auto"/>
        <w:ind w:left="720"/>
        <w:contextualSpacing w:val="0"/>
        <w:rPr>
          <w:rFonts w:cs="Arial"/>
        </w:rPr>
      </w:pPr>
    </w:p>
    <w:p w14:paraId="5C087787" w14:textId="198318AF" w:rsidR="008A6B04" w:rsidRDefault="008A6B04" w:rsidP="00C43421">
      <w:pPr>
        <w:pStyle w:val="ListParagraph"/>
      </w:pPr>
      <w:r w:rsidRPr="00137D1A">
        <w:t>Child Safety Order</w:t>
      </w:r>
    </w:p>
    <w:p w14:paraId="18F452CE" w14:textId="77777777" w:rsidR="00746B2F" w:rsidRPr="00137D1A" w:rsidRDefault="00746B2F" w:rsidP="00746B2F">
      <w:pPr>
        <w:spacing w:after="0" w:line="240" w:lineRule="auto"/>
        <w:rPr>
          <w:rFonts w:cs="Arial"/>
        </w:rPr>
      </w:pPr>
    </w:p>
    <w:p w14:paraId="342076FC" w14:textId="77777777" w:rsidR="00C43421" w:rsidRDefault="008A6B04" w:rsidP="00C43421">
      <w:pPr>
        <w:pStyle w:val="ListParagraph"/>
        <w:numPr>
          <w:ilvl w:val="1"/>
          <w:numId w:val="27"/>
        </w:numPr>
        <w:spacing w:after="0" w:line="240" w:lineRule="auto"/>
        <w:ind w:left="993" w:hanging="567"/>
        <w:contextualSpacing w:val="0"/>
        <w:rPr>
          <w:rFonts w:cs="Arial"/>
        </w:rPr>
      </w:pPr>
      <w:r w:rsidRPr="00137D1A">
        <w:rPr>
          <w:rFonts w:cs="Arial"/>
        </w:rPr>
        <w:t>If a child has committed an offence or broken a Local Child Curfew, they can be placed under the supervision of a youth offending team. This is called a Child Safety Order.</w:t>
      </w:r>
    </w:p>
    <w:p w14:paraId="3FD21180" w14:textId="77777777" w:rsidR="00C43421" w:rsidRDefault="008A6B04" w:rsidP="00C43421">
      <w:pPr>
        <w:pStyle w:val="ListParagraph"/>
        <w:numPr>
          <w:ilvl w:val="1"/>
          <w:numId w:val="27"/>
        </w:numPr>
        <w:spacing w:after="0" w:line="240" w:lineRule="auto"/>
        <w:ind w:left="993" w:hanging="567"/>
        <w:contextualSpacing w:val="0"/>
        <w:rPr>
          <w:rFonts w:cs="Arial"/>
        </w:rPr>
      </w:pPr>
      <w:r w:rsidRPr="00C43421">
        <w:rPr>
          <w:rFonts w:cs="Arial"/>
        </w:rPr>
        <w:t>The order normally lasts for up to 3 months, but in some cases it can last for up to 12 months.</w:t>
      </w:r>
    </w:p>
    <w:p w14:paraId="1B9CB984" w14:textId="15FA566B" w:rsidR="008A6B04" w:rsidRPr="00C43421" w:rsidRDefault="008A6B04" w:rsidP="00C43421">
      <w:pPr>
        <w:pStyle w:val="ListParagraph"/>
        <w:numPr>
          <w:ilvl w:val="1"/>
          <w:numId w:val="27"/>
        </w:numPr>
        <w:spacing w:after="0" w:line="240" w:lineRule="auto"/>
        <w:ind w:left="993" w:hanging="567"/>
        <w:contextualSpacing w:val="0"/>
        <w:rPr>
          <w:rFonts w:cs="Arial"/>
        </w:rPr>
      </w:pPr>
      <w:r w:rsidRPr="00C43421">
        <w:rPr>
          <w:rFonts w:cs="Arial"/>
        </w:rPr>
        <w:t>If a child doesn’t stick to the rules of an order, the court can consider if the child should be taken into care.</w:t>
      </w:r>
    </w:p>
    <w:p w14:paraId="36B2B1DF" w14:textId="77777777" w:rsidR="00746B2F" w:rsidRDefault="00746B2F" w:rsidP="00746B2F">
      <w:pPr>
        <w:spacing w:after="0" w:line="240" w:lineRule="auto"/>
        <w:ind w:left="0" w:firstLine="0"/>
      </w:pPr>
    </w:p>
    <w:p w14:paraId="34F5F94B" w14:textId="04E77265" w:rsidR="008A6B04" w:rsidRDefault="00192B55" w:rsidP="00F31A66">
      <w:pPr>
        <w:pStyle w:val="ListParagraph"/>
      </w:pPr>
      <w:r>
        <w:t>As y</w:t>
      </w:r>
      <w:r w:rsidRPr="00113C4F">
        <w:t>ou can</w:t>
      </w:r>
      <w:r>
        <w:t>no</w:t>
      </w:r>
      <w:r w:rsidRPr="00113C4F">
        <w:t>t commit a crime until you</w:t>
      </w:r>
      <w:r>
        <w:t xml:space="preserve"> ha</w:t>
      </w:r>
      <w:r w:rsidRPr="00113C4F">
        <w:t xml:space="preserve">ve reached the age of criminal responsibility the behaviour of concern would be addressed through other means such as parents and school or children's services. Raising the ACR would mean that children would be referred for help </w:t>
      </w:r>
      <w:r>
        <w:t>or</w:t>
      </w:r>
      <w:r w:rsidRPr="00113C4F">
        <w:t xml:space="preserve"> intervention but without the need for criminal justice involvement</w:t>
      </w:r>
      <w:r w:rsidR="009B03F7">
        <w:t xml:space="preserve"> or a criminal record</w:t>
      </w:r>
      <w:r w:rsidRPr="00113C4F">
        <w:t>.</w:t>
      </w:r>
      <w:r w:rsidR="00F31A66">
        <w:t xml:space="preserve"> </w:t>
      </w:r>
      <w:r w:rsidR="00DE6EE7" w:rsidRPr="0008438D">
        <w:t>C</w:t>
      </w:r>
      <w:r w:rsidR="008A6B04" w:rsidRPr="0008438D">
        <w:t xml:space="preserve">hildren below the ACR whose behaviour results in grave harm </w:t>
      </w:r>
      <w:r w:rsidR="006A71AE">
        <w:t>c</w:t>
      </w:r>
      <w:r w:rsidR="00906C39">
        <w:t>an</w:t>
      </w:r>
      <w:r w:rsidR="008A6B04" w:rsidRPr="0008438D">
        <w:t xml:space="preserve"> be </w:t>
      </w:r>
      <w:r w:rsidR="009B03F7">
        <w:t>supported</w:t>
      </w:r>
      <w:r w:rsidR="008A6B04" w:rsidRPr="0008438D">
        <w:t xml:space="preserve"> in </w:t>
      </w:r>
      <w:r w:rsidR="009B03F7">
        <w:t>a s</w:t>
      </w:r>
      <w:r w:rsidR="008A6B04" w:rsidRPr="0008438D">
        <w:t>ecure children’s home</w:t>
      </w:r>
      <w:r w:rsidR="009B03F7">
        <w:t xml:space="preserve"> under welfare legislation</w:t>
      </w:r>
      <w:r w:rsidR="008A6B04" w:rsidRPr="0008438D">
        <w:t xml:space="preserve">. </w:t>
      </w:r>
    </w:p>
    <w:p w14:paraId="3E1C3F6B" w14:textId="77777777" w:rsidR="00F31A66" w:rsidRPr="0008438D" w:rsidRDefault="00F31A66" w:rsidP="00F31A66">
      <w:pPr>
        <w:pStyle w:val="ListParagraph"/>
        <w:numPr>
          <w:ilvl w:val="0"/>
          <w:numId w:val="0"/>
        </w:numPr>
        <w:ind w:left="360"/>
      </w:pPr>
    </w:p>
    <w:p w14:paraId="073336AE" w14:textId="33143E1D" w:rsidR="00F31A66" w:rsidRDefault="003E6EFE" w:rsidP="00F31A66">
      <w:pPr>
        <w:pStyle w:val="ListParagraph"/>
      </w:pPr>
      <w:r>
        <w:t xml:space="preserve">A </w:t>
      </w:r>
      <w:r w:rsidR="00CB2D9E">
        <w:t>social care-based</w:t>
      </w:r>
      <w:r>
        <w:t xml:space="preserve"> approach would ensure that the causes of behaviour were addressed, actions confronted and rehabilitation supported</w:t>
      </w:r>
      <w:r w:rsidR="00D9156D">
        <w:t>, without the associated long-term impacts of criminalisation</w:t>
      </w:r>
      <w:r>
        <w:t xml:space="preserve">. </w:t>
      </w:r>
      <w:r w:rsidR="00CB2D9E">
        <w:t>This could</w:t>
      </w:r>
      <w:r>
        <w:t xml:space="preserve"> comprise support delivered by local partners (such as children’s services and voluntary sector organisations) as well as coercive welfare interventions (for example, parenting, supervision and care orders for more serious offenders)</w:t>
      </w:r>
      <w:r w:rsidR="00F31A66">
        <w:t>.</w:t>
      </w:r>
    </w:p>
    <w:p w14:paraId="2C77B3A3" w14:textId="77777777" w:rsidR="00F31A66" w:rsidRDefault="00F31A66" w:rsidP="00F31A66">
      <w:pPr>
        <w:pStyle w:val="ListParagraph"/>
        <w:numPr>
          <w:ilvl w:val="0"/>
          <w:numId w:val="0"/>
        </w:numPr>
        <w:ind w:left="360"/>
      </w:pPr>
    </w:p>
    <w:p w14:paraId="72B44623" w14:textId="50DE53C0" w:rsidR="00751314" w:rsidRDefault="00751314" w:rsidP="00F31A66">
      <w:pPr>
        <w:pStyle w:val="ListParagraph"/>
      </w:pPr>
      <w:r>
        <w:t xml:space="preserve">A challenge presented from the roundtable was that it can be challenging to engage children and parents in interventions when they are not enforced, however, there is a range of good practice that can be explored in this area and shared between local authorities. </w:t>
      </w:r>
    </w:p>
    <w:p w14:paraId="02AE79A1" w14:textId="77777777" w:rsidR="00751314" w:rsidRDefault="00751314" w:rsidP="00751314">
      <w:pPr>
        <w:spacing w:line="259" w:lineRule="auto"/>
        <w:ind w:left="0" w:firstLine="0"/>
        <w:contextualSpacing/>
        <w:rPr>
          <w:rFonts w:eastAsia="Calibri" w:cs="Arial"/>
        </w:rPr>
      </w:pPr>
    </w:p>
    <w:p w14:paraId="5C5D22CC" w14:textId="31E36579" w:rsidR="00746B2F" w:rsidRPr="00F31A66" w:rsidRDefault="00883D96" w:rsidP="00F31A66">
      <w:pPr>
        <w:pStyle w:val="ListParagraph"/>
      </w:pPr>
      <w:r>
        <w:t>Practical interventions include:</w:t>
      </w:r>
    </w:p>
    <w:p w14:paraId="0FEB7691" w14:textId="77777777" w:rsidR="00F31A66" w:rsidRDefault="00883D96" w:rsidP="00F31A66">
      <w:pPr>
        <w:pStyle w:val="ListParagraph"/>
        <w:numPr>
          <w:ilvl w:val="1"/>
          <w:numId w:val="28"/>
        </w:numPr>
        <w:spacing w:line="259" w:lineRule="auto"/>
        <w:ind w:left="993" w:hanging="567"/>
        <w:rPr>
          <w:rFonts w:eastAsia="Calibri" w:cs="Arial"/>
        </w:rPr>
      </w:pPr>
      <w:r w:rsidRPr="00F31A66">
        <w:rPr>
          <w:rFonts w:eastAsia="Calibri" w:cs="Arial"/>
        </w:rPr>
        <w:lastRenderedPageBreak/>
        <w:t xml:space="preserve">Early intervention is seen as key to reducing child crime. Examples include </w:t>
      </w:r>
      <w:r w:rsidR="00EC5FAC" w:rsidRPr="00F31A66">
        <w:rPr>
          <w:rFonts w:eastAsia="Calibri" w:cs="Arial"/>
        </w:rPr>
        <w:t>p</w:t>
      </w:r>
      <w:r w:rsidRPr="00F31A66">
        <w:rPr>
          <w:rFonts w:eastAsia="Calibri" w:cs="Arial"/>
        </w:rPr>
        <w:t>arenting</w:t>
      </w:r>
      <w:r w:rsidR="00EC5FAC" w:rsidRPr="00F31A66">
        <w:rPr>
          <w:rFonts w:eastAsia="Calibri" w:cs="Arial"/>
        </w:rPr>
        <w:t xml:space="preserve"> support</w:t>
      </w:r>
      <w:r w:rsidRPr="00F31A66">
        <w:rPr>
          <w:rFonts w:eastAsia="Calibri" w:cs="Arial"/>
        </w:rPr>
        <w:t xml:space="preserve">, </w:t>
      </w:r>
      <w:r w:rsidR="00EC5FAC" w:rsidRPr="00F31A66">
        <w:rPr>
          <w:rFonts w:eastAsia="Calibri" w:cs="Arial"/>
        </w:rPr>
        <w:t>y</w:t>
      </w:r>
      <w:r w:rsidRPr="00F31A66">
        <w:rPr>
          <w:rFonts w:eastAsia="Calibri" w:cs="Arial"/>
        </w:rPr>
        <w:t xml:space="preserve">outh </w:t>
      </w:r>
      <w:r w:rsidR="00EC5FAC" w:rsidRPr="00F31A66">
        <w:rPr>
          <w:rFonts w:eastAsia="Calibri" w:cs="Arial"/>
        </w:rPr>
        <w:t>i</w:t>
      </w:r>
      <w:r w:rsidRPr="00F31A66">
        <w:rPr>
          <w:rFonts w:eastAsia="Calibri" w:cs="Arial"/>
        </w:rPr>
        <w:t xml:space="preserve">nclusion and Safer Schools </w:t>
      </w:r>
      <w:r w:rsidR="00EC5FAC" w:rsidRPr="00F31A66">
        <w:rPr>
          <w:rFonts w:eastAsia="Calibri" w:cs="Arial"/>
        </w:rPr>
        <w:t>p</w:t>
      </w:r>
      <w:r w:rsidRPr="00F31A66">
        <w:rPr>
          <w:rFonts w:eastAsia="Calibri" w:cs="Arial"/>
        </w:rPr>
        <w:t>rogrammes.</w:t>
      </w:r>
    </w:p>
    <w:p w14:paraId="186D2BB1" w14:textId="77777777" w:rsidR="00F31A66" w:rsidRDefault="00883D96" w:rsidP="00F31A66">
      <w:pPr>
        <w:pStyle w:val="ListParagraph"/>
        <w:numPr>
          <w:ilvl w:val="1"/>
          <w:numId w:val="28"/>
        </w:numPr>
        <w:spacing w:line="259" w:lineRule="auto"/>
        <w:ind w:left="993" w:hanging="567"/>
        <w:rPr>
          <w:rFonts w:eastAsia="Calibri" w:cs="Arial"/>
        </w:rPr>
      </w:pPr>
      <w:r w:rsidRPr="00F31A66">
        <w:rPr>
          <w:rFonts w:eastAsia="Calibri" w:cs="Arial"/>
        </w:rPr>
        <w:t>In Scotland, the Children’s Hearings System focuses on welfare interventions, although for serious crimes any child over the ACR is liable to criminal sanctions.</w:t>
      </w:r>
    </w:p>
    <w:p w14:paraId="24E8C9E1" w14:textId="77777777" w:rsidR="00F31A66" w:rsidRDefault="00883D96" w:rsidP="00F31A66">
      <w:pPr>
        <w:pStyle w:val="ListParagraph"/>
        <w:numPr>
          <w:ilvl w:val="1"/>
          <w:numId w:val="28"/>
        </w:numPr>
        <w:spacing w:line="259" w:lineRule="auto"/>
        <w:ind w:left="993" w:hanging="567"/>
        <w:rPr>
          <w:rFonts w:eastAsia="Calibri" w:cs="Arial"/>
        </w:rPr>
      </w:pPr>
      <w:r w:rsidRPr="00F31A66">
        <w:rPr>
          <w:rFonts w:eastAsia="Calibri" w:cs="Arial"/>
        </w:rPr>
        <w:t xml:space="preserve">Welfare laws can </w:t>
      </w:r>
      <w:r w:rsidR="00EC5FAC" w:rsidRPr="00F31A66">
        <w:rPr>
          <w:rFonts w:eastAsia="Calibri" w:cs="Arial"/>
        </w:rPr>
        <w:t xml:space="preserve">be used in exceptional circumstances to </w:t>
      </w:r>
      <w:r w:rsidRPr="00F31A66">
        <w:rPr>
          <w:rFonts w:eastAsia="Calibri" w:cs="Arial"/>
        </w:rPr>
        <w:t>deprive children of their liberty when there is a risk of harm to themselves or others. Half of children detained in SCHs are there on welfare grounds under s25 of the Children Act 1989.</w:t>
      </w:r>
    </w:p>
    <w:p w14:paraId="735FB4E4" w14:textId="223D4E12" w:rsidR="00883D96" w:rsidRPr="00F31A66" w:rsidRDefault="00883D96" w:rsidP="00F31A66">
      <w:pPr>
        <w:pStyle w:val="ListParagraph"/>
        <w:numPr>
          <w:ilvl w:val="1"/>
          <w:numId w:val="28"/>
        </w:numPr>
        <w:spacing w:line="259" w:lineRule="auto"/>
        <w:ind w:left="993" w:hanging="567"/>
        <w:rPr>
          <w:rFonts w:eastAsia="Calibri" w:cs="Arial"/>
        </w:rPr>
      </w:pPr>
      <w:r w:rsidRPr="00F31A66">
        <w:rPr>
          <w:rFonts w:eastAsia="Calibri" w:cs="Arial"/>
        </w:rPr>
        <w:t>Children with mental disorders and those found unfit to plead can be diverted from the CJS into mental health services.</w:t>
      </w:r>
    </w:p>
    <w:p w14:paraId="39AB7CD3" w14:textId="77777777" w:rsidR="00883D96" w:rsidRDefault="00883D96" w:rsidP="00883D96">
      <w:pPr>
        <w:spacing w:line="259" w:lineRule="auto"/>
        <w:contextualSpacing/>
        <w:rPr>
          <w:rFonts w:eastAsia="Calibri" w:cs="Arial"/>
        </w:rPr>
      </w:pPr>
    </w:p>
    <w:p w14:paraId="3B566DA4" w14:textId="77777777" w:rsidR="00F31A66" w:rsidRDefault="00883D96" w:rsidP="00F31A66">
      <w:pPr>
        <w:pStyle w:val="ListParagraph"/>
      </w:pPr>
      <w:r>
        <w:t xml:space="preserve">Social care teams already work to support children who have suffered neglect, abuse and adverse childhood experiences and considering that many children who are involved in the criminal justice system are likely to have experienced multiple disadvantages, these teams </w:t>
      </w:r>
      <w:r w:rsidR="00EC5FAC">
        <w:t>have the expertise</w:t>
      </w:r>
      <w:r>
        <w:t xml:space="preserve"> to support them</w:t>
      </w:r>
      <w:r w:rsidR="00EC5FAC">
        <w:t>, though we must of course recognise the existing pressures on the system which must also be addressed</w:t>
      </w:r>
      <w:r>
        <w:t>.</w:t>
      </w:r>
    </w:p>
    <w:p w14:paraId="5EC4DEE1" w14:textId="77777777" w:rsidR="00040F2B" w:rsidRDefault="00040F2B" w:rsidP="00040F2B">
      <w:pPr>
        <w:pStyle w:val="ListParagraph"/>
        <w:numPr>
          <w:ilvl w:val="0"/>
          <w:numId w:val="0"/>
        </w:numPr>
        <w:ind w:left="360"/>
      </w:pPr>
    </w:p>
    <w:p w14:paraId="78423EB9" w14:textId="18DFDA42" w:rsidR="00883D96" w:rsidRPr="00F31A66" w:rsidRDefault="00751314" w:rsidP="00F31A66">
      <w:pPr>
        <w:pStyle w:val="ListParagraph"/>
      </w:pPr>
      <w:r w:rsidRPr="00F31A66">
        <w:rPr>
          <w:rFonts w:eastAsia="Calibri" w:cs="Arial"/>
        </w:rPr>
        <w:t xml:space="preserve">It is also essential to keep in mind the impact on the victim, or the victim’s family, depending on the </w:t>
      </w:r>
      <w:r w:rsidR="00D65CA7" w:rsidRPr="00F31A66">
        <w:rPr>
          <w:rFonts w:eastAsia="Calibri" w:cs="Arial"/>
        </w:rPr>
        <w:t xml:space="preserve">seriousness of the actions and this was discussed at the roundtable. However, successful programmes such as restorative justice were referenced as more effective than a solely punitive approach. </w:t>
      </w:r>
    </w:p>
    <w:p w14:paraId="674D4F08" w14:textId="77777777" w:rsidR="00906C39" w:rsidRDefault="00906C39" w:rsidP="00906C39">
      <w:pPr>
        <w:spacing w:after="0" w:line="240" w:lineRule="auto"/>
        <w:ind w:left="360" w:hanging="360"/>
        <w:rPr>
          <w:b/>
          <w:bCs/>
        </w:rPr>
      </w:pPr>
    </w:p>
    <w:p w14:paraId="1643F492" w14:textId="2CFD8289" w:rsidR="00883D96" w:rsidRDefault="00883D96" w:rsidP="00906C39">
      <w:pPr>
        <w:spacing w:after="0" w:line="240" w:lineRule="auto"/>
        <w:ind w:left="360" w:hanging="360"/>
        <w:rPr>
          <w:b/>
          <w:bCs/>
        </w:rPr>
      </w:pPr>
      <w:r w:rsidRPr="00906C39">
        <w:rPr>
          <w:b/>
          <w:bCs/>
        </w:rPr>
        <w:t>The impact on local authorities</w:t>
      </w:r>
    </w:p>
    <w:p w14:paraId="14859D2F" w14:textId="77777777" w:rsidR="00906C39" w:rsidRPr="00906C39" w:rsidRDefault="00906C39" w:rsidP="00906C39">
      <w:pPr>
        <w:spacing w:after="0" w:line="240" w:lineRule="auto"/>
        <w:ind w:left="360" w:hanging="360"/>
        <w:rPr>
          <w:b/>
          <w:bCs/>
        </w:rPr>
      </w:pPr>
    </w:p>
    <w:p w14:paraId="4AB116ED" w14:textId="609264A3" w:rsidR="00883D96" w:rsidRDefault="00883D96" w:rsidP="00040F2B">
      <w:pPr>
        <w:pStyle w:val="ListParagraph"/>
      </w:pPr>
      <w:r>
        <w:t xml:space="preserve">The Board raised a concern that increasing the age of criminal responsibility may have an impact on the demands on local </w:t>
      </w:r>
      <w:r w:rsidR="0005507D">
        <w:t>authorities. There</w:t>
      </w:r>
      <w:r>
        <w:t xml:space="preserve"> </w:t>
      </w:r>
      <w:r w:rsidR="00906C39">
        <w:t>would likely to</w:t>
      </w:r>
      <w:r>
        <w:t xml:space="preserve"> additional pressure placed on </w:t>
      </w:r>
      <w:r w:rsidR="00906C39">
        <w:t>children’s social care</w:t>
      </w:r>
      <w:r>
        <w:t xml:space="preserve"> in order to provide early intervention and support to children</w:t>
      </w:r>
      <w:r w:rsidR="00906C39">
        <w:t xml:space="preserve"> </w:t>
      </w:r>
      <w:r w:rsidR="00EC5FAC">
        <w:t>but with the numbers of children being very small, this is unlikely to be so significant as to be unviable.</w:t>
      </w:r>
      <w:r>
        <w:t xml:space="preserve"> </w:t>
      </w:r>
      <w:r w:rsidR="00EC5FAC">
        <w:t xml:space="preserve">In addition, </w:t>
      </w:r>
      <w:r>
        <w:t>the long</w:t>
      </w:r>
      <w:r w:rsidR="00906C39">
        <w:t>-</w:t>
      </w:r>
      <w:r>
        <w:t xml:space="preserve">term outcomes for the child and reduced future involvement in services </w:t>
      </w:r>
      <w:r w:rsidR="00EC5FAC">
        <w:t>are likely to reduce long term social and financial costs.</w:t>
      </w:r>
    </w:p>
    <w:p w14:paraId="47C89610" w14:textId="77777777" w:rsidR="00906C39" w:rsidRDefault="00906C39" w:rsidP="00906C39">
      <w:pPr>
        <w:spacing w:after="0" w:line="240" w:lineRule="auto"/>
        <w:ind w:left="0" w:firstLine="0"/>
      </w:pPr>
    </w:p>
    <w:p w14:paraId="0BFE60AE" w14:textId="3A943FDC" w:rsidR="009A5CAA" w:rsidRDefault="0005507D" w:rsidP="00040F2B">
      <w:pPr>
        <w:pStyle w:val="ListParagraph"/>
      </w:pPr>
      <w:r>
        <w:t>For those</w:t>
      </w:r>
      <w:r w:rsidR="009A5CAA">
        <w:t xml:space="preserve"> child</w:t>
      </w:r>
      <w:r>
        <w:t>ren</w:t>
      </w:r>
      <w:r w:rsidR="009A5CAA">
        <w:t xml:space="preserve"> in the youth custody system</w:t>
      </w:r>
      <w:r>
        <w:t>, the cost</w:t>
      </w:r>
      <w:r w:rsidR="009A5CAA">
        <w:t xml:space="preserve"> currently sits outside of the local authority so a </w:t>
      </w:r>
      <w:r w:rsidR="00906C39">
        <w:t>redirection of this</w:t>
      </w:r>
      <w:r w:rsidR="009A5CAA">
        <w:t xml:space="preserve"> funding would have to be seen</w:t>
      </w:r>
      <w:r w:rsidR="00D2091B">
        <w:t xml:space="preserve"> in support of any change to the ACR. </w:t>
      </w:r>
      <w:r w:rsidR="009A5CAA">
        <w:t xml:space="preserve"> </w:t>
      </w:r>
    </w:p>
    <w:p w14:paraId="7C0DBDB8" w14:textId="77777777" w:rsidR="00906C39" w:rsidRDefault="00906C39" w:rsidP="00906C39">
      <w:pPr>
        <w:spacing w:after="0" w:line="240" w:lineRule="auto"/>
        <w:ind w:left="0" w:firstLine="0"/>
      </w:pPr>
    </w:p>
    <w:p w14:paraId="0822FED2" w14:textId="64CED23E" w:rsidR="00906C39" w:rsidRDefault="00883D96" w:rsidP="00040F2B">
      <w:pPr>
        <w:pStyle w:val="ListParagraph"/>
      </w:pPr>
      <w:r>
        <w:t xml:space="preserve">The LGA </w:t>
      </w:r>
      <w:r w:rsidR="00906C39">
        <w:t>c</w:t>
      </w:r>
      <w:r>
        <w:t xml:space="preserve">ould use </w:t>
      </w:r>
      <w:r w:rsidR="00906C39">
        <w:t>any</w:t>
      </w:r>
      <w:r>
        <w:t xml:space="preserve"> call for an increased age of ACR to also reiterate calls for greater funding in early intervention and social care services, to support children and divert them from the criminal justice system, and therefore improving their outcomes.</w:t>
      </w:r>
    </w:p>
    <w:p w14:paraId="06C96B00" w14:textId="038E60C4" w:rsidR="00883D96" w:rsidRDefault="00883D96" w:rsidP="00906C39">
      <w:pPr>
        <w:spacing w:after="0" w:line="240" w:lineRule="auto"/>
        <w:ind w:left="0" w:firstLine="0"/>
      </w:pPr>
      <w:r>
        <w:t xml:space="preserve"> </w:t>
      </w:r>
    </w:p>
    <w:p w14:paraId="48125953" w14:textId="103DAA31" w:rsidR="006777A0" w:rsidRDefault="00906C39" w:rsidP="00746B2F">
      <w:pPr>
        <w:spacing w:after="0" w:line="240" w:lineRule="auto"/>
        <w:ind w:left="360" w:hanging="360"/>
        <w:rPr>
          <w:b/>
          <w:bCs/>
        </w:rPr>
      </w:pPr>
      <w:bookmarkStart w:id="1" w:name="_Hlk56522885"/>
      <w:r w:rsidRPr="00906C39">
        <w:rPr>
          <w:b/>
          <w:bCs/>
        </w:rPr>
        <w:t>Feedback from partners</w:t>
      </w:r>
    </w:p>
    <w:p w14:paraId="28B6CBDB" w14:textId="77777777" w:rsidR="00746B2F" w:rsidRPr="00906C39" w:rsidRDefault="00746B2F" w:rsidP="00746B2F">
      <w:pPr>
        <w:spacing w:after="0" w:line="240" w:lineRule="auto"/>
        <w:ind w:left="360" w:hanging="360"/>
        <w:rPr>
          <w:b/>
          <w:bCs/>
        </w:rPr>
      </w:pPr>
    </w:p>
    <w:bookmarkEnd w:id="1"/>
    <w:p w14:paraId="45B421FA" w14:textId="3FD0F470" w:rsidR="00096436" w:rsidRDefault="00096436" w:rsidP="00040F2B">
      <w:pPr>
        <w:pStyle w:val="ListParagraph"/>
      </w:pPr>
      <w:r>
        <w:lastRenderedPageBreak/>
        <w:t>In developing this response, officers spoke to a range of colleagues working within the system</w:t>
      </w:r>
      <w:r w:rsidR="006A71AE">
        <w:t>, such as the Youth Justice Board, N</w:t>
      </w:r>
      <w:r w:rsidR="00906C39">
        <w:t xml:space="preserve">ational </w:t>
      </w:r>
      <w:r w:rsidR="006A71AE">
        <w:t>Y</w:t>
      </w:r>
      <w:r w:rsidR="00906C39">
        <w:t xml:space="preserve">outh </w:t>
      </w:r>
      <w:r w:rsidR="006A71AE">
        <w:t>A</w:t>
      </w:r>
      <w:r w:rsidR="00906C39">
        <w:t>gency</w:t>
      </w:r>
      <w:r w:rsidR="006A71AE">
        <w:t>, Association of Youth Offending Team (YOTs) Managers</w:t>
      </w:r>
      <w:r w:rsidR="00906C39">
        <w:t xml:space="preserve"> and re</w:t>
      </w:r>
      <w:r w:rsidR="006A71AE">
        <w:t>gional youth networks,</w:t>
      </w:r>
      <w:r>
        <w:t xml:space="preserve"> to understand how this would impact their work.</w:t>
      </w:r>
    </w:p>
    <w:p w14:paraId="7B032C82" w14:textId="77777777" w:rsidR="00746B2F" w:rsidRDefault="00746B2F" w:rsidP="00746B2F">
      <w:pPr>
        <w:spacing w:after="0" w:line="240" w:lineRule="auto"/>
        <w:ind w:left="0" w:firstLine="0"/>
      </w:pPr>
    </w:p>
    <w:p w14:paraId="5C5A07DD" w14:textId="77777777" w:rsidR="00040F2B" w:rsidRDefault="00096436" w:rsidP="00040F2B">
      <w:pPr>
        <w:pStyle w:val="ListParagraph"/>
      </w:pPr>
      <w:r>
        <w:t xml:space="preserve">The general consensus </w:t>
      </w:r>
      <w:r w:rsidR="00113C4F">
        <w:t xml:space="preserve">was that on an individual local authority level, the numbers were so small </w:t>
      </w:r>
      <w:r w:rsidR="00906C39">
        <w:t>that raising the ACR</w:t>
      </w:r>
      <w:r w:rsidR="00113C4F">
        <w:t xml:space="preserve"> would have </w:t>
      </w:r>
      <w:r w:rsidR="00906C39">
        <w:t>only a small</w:t>
      </w:r>
      <w:r w:rsidR="00113C4F">
        <w:t xml:space="preserve"> impact.</w:t>
      </w:r>
      <w:r w:rsidR="00CB2D9E">
        <w:t xml:space="preserve"> Furthermore, the anticipated positive impact on a child’s long</w:t>
      </w:r>
      <w:r w:rsidR="00906C39">
        <w:t>-</w:t>
      </w:r>
      <w:r w:rsidR="00CB2D9E">
        <w:t xml:space="preserve">term outcomes could </w:t>
      </w:r>
      <w:r w:rsidR="00906C39">
        <w:t xml:space="preserve">be </w:t>
      </w:r>
      <w:r w:rsidR="00CB2D9E">
        <w:t xml:space="preserve">significantly more beneficial than involving them in the criminal justice system. </w:t>
      </w:r>
    </w:p>
    <w:p w14:paraId="04EC9FAD" w14:textId="77777777" w:rsidR="00040F2B" w:rsidRPr="00040F2B" w:rsidRDefault="00040F2B" w:rsidP="00040F2B">
      <w:pPr>
        <w:pStyle w:val="ListParagraph"/>
        <w:numPr>
          <w:ilvl w:val="0"/>
          <w:numId w:val="0"/>
        </w:numPr>
        <w:ind w:left="360"/>
        <w:rPr>
          <w:i/>
          <w:iCs/>
        </w:rPr>
      </w:pPr>
    </w:p>
    <w:p w14:paraId="389806B2" w14:textId="53256329" w:rsidR="00113C4F" w:rsidRPr="00040F2B" w:rsidRDefault="00113C4F" w:rsidP="00040F2B">
      <w:pPr>
        <w:pStyle w:val="ListParagraph"/>
        <w:numPr>
          <w:ilvl w:val="0"/>
          <w:numId w:val="0"/>
        </w:numPr>
        <w:ind w:left="360"/>
      </w:pPr>
      <w:r w:rsidRPr="00040F2B">
        <w:rPr>
          <w:i/>
          <w:iCs/>
        </w:rPr>
        <w:t>“If a child's behaviour is repeatedly problematic to the extent that they are coming to police attention at the age of 10,11 or 12 then there is a problem which warrants proper intervention with home and school. Placing this in a criminal context would add nothing effective to the intervention and would likely familiarise the child to the criminal justice system sealing their trajectory”.</w:t>
      </w:r>
      <w:r w:rsidR="00CB2D9E" w:rsidRPr="00040F2B">
        <w:rPr>
          <w:i/>
          <w:iCs/>
        </w:rPr>
        <w:t xml:space="preserve"> </w:t>
      </w:r>
      <w:r w:rsidR="00CB2D9E" w:rsidRPr="00040F2B">
        <w:rPr>
          <w:sz w:val="18"/>
          <w:szCs w:val="18"/>
        </w:rPr>
        <w:t>Feedback from a youth justice colleague</w:t>
      </w:r>
      <w:r w:rsidR="00CB2D9E" w:rsidRPr="00040F2B">
        <w:rPr>
          <w:i/>
          <w:iCs/>
        </w:rPr>
        <w:t xml:space="preserve">. </w:t>
      </w:r>
    </w:p>
    <w:p w14:paraId="347F1932" w14:textId="77777777" w:rsidR="00746B2F" w:rsidRDefault="00746B2F" w:rsidP="00746B2F">
      <w:pPr>
        <w:spacing w:after="0" w:line="240" w:lineRule="auto"/>
        <w:ind w:left="0" w:firstLine="0"/>
        <w:rPr>
          <w:i/>
          <w:iCs/>
        </w:rPr>
      </w:pPr>
    </w:p>
    <w:p w14:paraId="6A7B2066" w14:textId="50DEFEFA" w:rsidR="00D2091B" w:rsidRDefault="00D2091B" w:rsidP="00040F2B">
      <w:pPr>
        <w:pStyle w:val="ListParagraph"/>
      </w:pPr>
      <w:r>
        <w:t xml:space="preserve">Partners at the roundtable recognised that there </w:t>
      </w:r>
      <w:r w:rsidR="00906C39">
        <w:t>would need to be</w:t>
      </w:r>
      <w:r>
        <w:t xml:space="preserve"> a cultural shift across different agencies if the age was to be increased</w:t>
      </w:r>
      <w:r w:rsidR="00906C39">
        <w:t>. Including adopting common language and approaches</w:t>
      </w:r>
      <w:r>
        <w:t>. There is some good practice that can be built on at the moment. For example, in Hampshire, if the police are called to a house where a child is present, they inform the school before 8am the next day so this can be picked up by the safeguarding lead. These sorts of actions and joined up working ensure support for the child is at the centre, reducing the likelihood of criminal activity</w:t>
      </w:r>
      <w:r w:rsidR="0005507D">
        <w:t xml:space="preserve"> by putting in place support when it is first needed</w:t>
      </w:r>
      <w:r>
        <w:t xml:space="preserve">. </w:t>
      </w:r>
    </w:p>
    <w:p w14:paraId="274B38DF" w14:textId="77777777" w:rsidR="00746B2F" w:rsidRPr="003B3F7E" w:rsidRDefault="00746B2F" w:rsidP="00746B2F">
      <w:pPr>
        <w:spacing w:after="0" w:line="240" w:lineRule="auto"/>
        <w:ind w:left="0" w:firstLine="0"/>
      </w:pPr>
    </w:p>
    <w:p w14:paraId="0E3BAE7B" w14:textId="4E4F71CC" w:rsidR="00746B2F" w:rsidRDefault="001F331F" w:rsidP="008C5D3D">
      <w:pPr>
        <w:pStyle w:val="ListParagraph"/>
      </w:pPr>
      <w:r w:rsidRPr="001F331F">
        <w:t xml:space="preserve">There is a range of well evaluated interventions </w:t>
      </w:r>
      <w:r w:rsidR="00746B2F">
        <w:t xml:space="preserve">outlined by the Early Intervention Foundation which are </w:t>
      </w:r>
      <w:r w:rsidRPr="001F331F">
        <w:t>available to local authorities in supporting and deterring children and young people from offendin</w:t>
      </w:r>
      <w:r w:rsidR="00746B2F">
        <w:t>g</w:t>
      </w:r>
      <w:r w:rsidRPr="001F331F">
        <w:rPr>
          <w:rStyle w:val="EndnoteReference"/>
        </w:rPr>
        <w:endnoteReference w:id="12"/>
      </w:r>
      <w:r w:rsidR="00746B2F">
        <w:t>.</w:t>
      </w:r>
      <w:r w:rsidRPr="001F331F">
        <w:t xml:space="preserve"> </w:t>
      </w:r>
    </w:p>
    <w:p w14:paraId="7E28A62A" w14:textId="77777777" w:rsidR="00746B2F" w:rsidRDefault="00746B2F" w:rsidP="00746B2F">
      <w:pPr>
        <w:spacing w:after="0" w:line="240" w:lineRule="auto"/>
        <w:ind w:left="0" w:firstLine="0"/>
      </w:pPr>
    </w:p>
    <w:sdt>
      <w:sdtPr>
        <w:rPr>
          <w:rStyle w:val="Style6"/>
        </w:rPr>
        <w:alias w:val="Wales"/>
        <w:tag w:val="Wales"/>
        <w:id w:val="77032369"/>
        <w:placeholder>
          <w:docPart w:val="EECEE7B9D7B84CC0BE134A02D365A7F9"/>
        </w:placeholder>
      </w:sdtPr>
      <w:sdtEndPr>
        <w:rPr>
          <w:rStyle w:val="Style6"/>
        </w:rPr>
      </w:sdtEndPr>
      <w:sdtContent>
        <w:p w14:paraId="38311BD3" w14:textId="77777777" w:rsidR="00746B2F" w:rsidRDefault="009B6F95" w:rsidP="00746B2F">
          <w:pPr>
            <w:spacing w:after="0" w:line="240" w:lineRule="auto"/>
            <w:rPr>
              <w:rStyle w:val="Style6"/>
            </w:rPr>
          </w:pPr>
          <w:r w:rsidRPr="00C803F3">
            <w:rPr>
              <w:rStyle w:val="Style6"/>
            </w:rPr>
            <w:t>Implications for Wales</w:t>
          </w:r>
        </w:p>
        <w:p w14:paraId="5837A1BB" w14:textId="787B95DC" w:rsidR="009B6F95" w:rsidRPr="00CD48CE" w:rsidRDefault="00BD2CD0" w:rsidP="00746B2F">
          <w:pPr>
            <w:spacing w:after="0" w:line="240" w:lineRule="auto"/>
            <w:rPr>
              <w:b/>
            </w:rPr>
          </w:pPr>
        </w:p>
      </w:sdtContent>
    </w:sdt>
    <w:p w14:paraId="01D073EA" w14:textId="4F052DB7" w:rsidR="004E458A" w:rsidRPr="00746B2F" w:rsidRDefault="7C69B1D3" w:rsidP="00746B2F">
      <w:pPr>
        <w:pStyle w:val="ListParagraph"/>
        <w:spacing w:after="0" w:line="240" w:lineRule="auto"/>
        <w:rPr>
          <w:rStyle w:val="ReportTemplate"/>
          <w:i/>
          <w:iCs/>
        </w:rPr>
      </w:pPr>
      <w:r w:rsidRPr="7C69B1D3">
        <w:rPr>
          <w:rStyle w:val="ReportTemplate"/>
        </w:rPr>
        <w:t>The age of criminal responsibility is set by section 50 of the Children and Young Persons Act 1933, which applies to both England and Wales. Any change to the ACR would affect both England and Wales.</w:t>
      </w:r>
      <w:r w:rsidR="00883D96">
        <w:rPr>
          <w:rStyle w:val="ReportTemplate"/>
        </w:rPr>
        <w:t xml:space="preserve"> Officers will engage with the Welsh Local Government Association on this topic. </w:t>
      </w:r>
    </w:p>
    <w:p w14:paraId="14B7AAF0" w14:textId="77777777" w:rsidR="00746B2F" w:rsidRPr="00526D37" w:rsidRDefault="00746B2F" w:rsidP="00746B2F">
      <w:pPr>
        <w:pStyle w:val="ListParagraph"/>
        <w:numPr>
          <w:ilvl w:val="0"/>
          <w:numId w:val="0"/>
        </w:numPr>
        <w:spacing w:after="0" w:line="240" w:lineRule="auto"/>
        <w:ind w:left="360"/>
        <w:rPr>
          <w:rStyle w:val="ReportTemplate"/>
          <w:i/>
          <w:iCs/>
        </w:rPr>
      </w:pPr>
    </w:p>
    <w:p w14:paraId="5837A1C2" w14:textId="77777777" w:rsidR="009B6F95" w:rsidRPr="009B1AA8" w:rsidRDefault="00BD2CD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339B9EB9" w:rsidR="009B6F95" w:rsidRPr="009B1AA8" w:rsidRDefault="7C69B1D3" w:rsidP="000F69FB">
      <w:pPr>
        <w:pStyle w:val="ListParagraph"/>
        <w:rPr>
          <w:rStyle w:val="Title2"/>
          <w:sz w:val="22"/>
        </w:rPr>
      </w:pPr>
      <w:r w:rsidRPr="7C69B1D3">
        <w:rPr>
          <w:rStyle w:val="Title2"/>
          <w:b w:val="0"/>
          <w:sz w:val="22"/>
        </w:rPr>
        <w:t>None.</w:t>
      </w:r>
    </w:p>
    <w:p w14:paraId="5837A1C5" w14:textId="77777777" w:rsidR="009B6F95" w:rsidRPr="009B1AA8" w:rsidRDefault="00BD2CD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B2A8A7B" w14:textId="77777777" w:rsidR="00D2091B" w:rsidRDefault="7C69B1D3" w:rsidP="00526D37">
      <w:pPr>
        <w:pStyle w:val="ListParagraph"/>
        <w:rPr>
          <w:rStyle w:val="ReportTemplate"/>
        </w:rPr>
      </w:pPr>
      <w:r w:rsidRPr="7C69B1D3">
        <w:rPr>
          <w:rStyle w:val="ReportTemplate"/>
        </w:rPr>
        <w:t xml:space="preserve">Members’ decision on the LGA’s position on the ACR will </w:t>
      </w:r>
      <w:r w:rsidR="00D2091B">
        <w:rPr>
          <w:rStyle w:val="ReportTemplate"/>
        </w:rPr>
        <w:t>enable officers to:</w:t>
      </w:r>
    </w:p>
    <w:p w14:paraId="3775823F" w14:textId="77777777" w:rsidR="008C5D3D" w:rsidRDefault="00D2091B" w:rsidP="008C5D3D">
      <w:pPr>
        <w:pStyle w:val="ListParagraph"/>
        <w:numPr>
          <w:ilvl w:val="1"/>
          <w:numId w:val="29"/>
        </w:numPr>
        <w:ind w:left="993" w:hanging="496"/>
      </w:pPr>
      <w:r>
        <w:lastRenderedPageBreak/>
        <w:t>continue to build up an understanding of best practice in this area to share with both Government and local authorities</w:t>
      </w:r>
    </w:p>
    <w:p w14:paraId="7BF55990" w14:textId="77777777" w:rsidR="008C5D3D" w:rsidRDefault="00D2091B" w:rsidP="008C5D3D">
      <w:pPr>
        <w:pStyle w:val="ListParagraph"/>
        <w:numPr>
          <w:ilvl w:val="1"/>
          <w:numId w:val="29"/>
        </w:numPr>
        <w:ind w:left="993" w:hanging="496"/>
      </w:pPr>
      <w:r>
        <w:t>Undertake further research to know more about the children who are committing crime</w:t>
      </w:r>
    </w:p>
    <w:p w14:paraId="73FC0DD4" w14:textId="7B7CC097" w:rsidR="00D2091B" w:rsidRPr="00B84F31" w:rsidRDefault="00D2091B" w:rsidP="008C5D3D">
      <w:pPr>
        <w:pStyle w:val="ListParagraph"/>
        <w:numPr>
          <w:ilvl w:val="1"/>
          <w:numId w:val="29"/>
        </w:numPr>
        <w:ind w:left="993" w:hanging="496"/>
      </w:pPr>
      <w:r>
        <w:t>use the LGA’s agreed position in future work with the Government.</w:t>
      </w:r>
    </w:p>
    <w:p w14:paraId="5837A1C8" w14:textId="77777777" w:rsidR="009B6F95" w:rsidRPr="00C803F3" w:rsidRDefault="009B6F95" w:rsidP="008C5D3D">
      <w:pPr>
        <w:ind w:left="0" w:firstLine="0"/>
      </w:pPr>
    </w:p>
    <w:sectPr w:rsidR="009B6F95" w:rsidRPr="00C803F3" w:rsidSect="009A08B4">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6A15" w14:textId="77777777" w:rsidR="003E7673" w:rsidRPr="00C803F3" w:rsidRDefault="003E7673" w:rsidP="00C803F3">
      <w:r>
        <w:separator/>
      </w:r>
    </w:p>
  </w:endnote>
  <w:endnote w:type="continuationSeparator" w:id="0">
    <w:p w14:paraId="0A51AF63" w14:textId="77777777" w:rsidR="003E7673" w:rsidRPr="00C803F3" w:rsidRDefault="003E7673" w:rsidP="00C803F3">
      <w:r>
        <w:continuationSeparator/>
      </w:r>
    </w:p>
  </w:endnote>
  <w:endnote w:id="1">
    <w:p w14:paraId="6D1C784F" w14:textId="4B93E02F" w:rsidR="005A66A4" w:rsidRDefault="005A66A4">
      <w:pPr>
        <w:pStyle w:val="EndnoteText"/>
      </w:pPr>
      <w:r>
        <w:rPr>
          <w:rStyle w:val="EndnoteReference"/>
        </w:rPr>
        <w:endnoteRef/>
      </w:r>
      <w:r>
        <w:t xml:space="preserve"> </w:t>
      </w:r>
      <w:hyperlink r:id="rId1" w:history="1">
        <w:r>
          <w:rPr>
            <w:rStyle w:val="Hyperlink"/>
          </w:rPr>
          <w:t>https://www2.ohchr.org/english/bodies/crc/docs/CRC.C.GC.10.pdf</w:t>
        </w:r>
      </w:hyperlink>
    </w:p>
  </w:endnote>
  <w:endnote w:id="2">
    <w:p w14:paraId="78EA25E5" w14:textId="3E541E62" w:rsidR="005A66A4" w:rsidRDefault="005A66A4">
      <w:pPr>
        <w:pStyle w:val="EndnoteText"/>
      </w:pPr>
      <w:r>
        <w:rPr>
          <w:rStyle w:val="EndnoteReference"/>
        </w:rPr>
        <w:endnoteRef/>
      </w:r>
      <w:r>
        <w:t xml:space="preserve"> </w:t>
      </w:r>
      <w:hyperlink r:id="rId2" w:history="1">
        <w:r>
          <w:rPr>
            <w:rStyle w:val="Hyperlink"/>
          </w:rPr>
          <w:t>https://www.ohchr.org/Documents/HRBodies/CRC/GC24/GeneralComment24.pdf</w:t>
        </w:r>
      </w:hyperlink>
    </w:p>
  </w:endnote>
  <w:endnote w:id="3">
    <w:p w14:paraId="41D27977" w14:textId="78139E8C" w:rsidR="005A66A4" w:rsidRDefault="005A66A4">
      <w:pPr>
        <w:pStyle w:val="EndnoteText"/>
      </w:pPr>
      <w:r>
        <w:rPr>
          <w:rStyle w:val="EndnoteReference"/>
        </w:rPr>
        <w:endnoteRef/>
      </w:r>
      <w:r>
        <w:t xml:space="preserve"> </w:t>
      </w:r>
      <w:hyperlink r:id="rId3" w:history="1">
        <w:r w:rsidRPr="00684719">
          <w:rPr>
            <w:rStyle w:val="Hyperlink"/>
          </w:rPr>
          <w:t>https://committees.parliament.uk/committee/102/justice-committee/publications/</w:t>
        </w:r>
      </w:hyperlink>
      <w:r>
        <w:t xml:space="preserve"> </w:t>
      </w:r>
    </w:p>
  </w:endnote>
  <w:endnote w:id="4">
    <w:p w14:paraId="3B3F46B8" w14:textId="491F2B58" w:rsidR="005A66A4" w:rsidRDefault="005A66A4">
      <w:pPr>
        <w:pStyle w:val="EndnoteText"/>
      </w:pPr>
      <w:r>
        <w:rPr>
          <w:rStyle w:val="EndnoteReference"/>
        </w:rPr>
        <w:endnoteRef/>
      </w:r>
      <w:r>
        <w:t xml:space="preserve"> </w:t>
      </w:r>
      <w:hyperlink r:id="rId4" w:history="1">
        <w:r>
          <w:rPr>
            <w:rStyle w:val="Hyperlink"/>
          </w:rPr>
          <w:t>https://www.theguardian.com/society/2019/nov/04/age-of-criminal-responsibility-must-be-raised-say-experts</w:t>
        </w:r>
      </w:hyperlink>
    </w:p>
  </w:endnote>
  <w:endnote w:id="5">
    <w:p w14:paraId="50476E7A" w14:textId="193BADA3" w:rsidR="005A66A4" w:rsidRDefault="005A66A4">
      <w:pPr>
        <w:pStyle w:val="EndnoteText"/>
      </w:pPr>
      <w:r>
        <w:rPr>
          <w:rStyle w:val="EndnoteReference"/>
        </w:rPr>
        <w:endnoteRef/>
      </w:r>
      <w:r>
        <w:t xml:space="preserve"> </w:t>
      </w:r>
      <w:hyperlink r:id="rId5" w:history="1">
        <w:r>
          <w:rPr>
            <w:rStyle w:val="Hyperlink"/>
          </w:rPr>
          <w:t>https://yjlc.uk/wp-content/uploads/2018/06/ACR.pdf</w:t>
        </w:r>
      </w:hyperlink>
    </w:p>
  </w:endnote>
  <w:endnote w:id="6">
    <w:p w14:paraId="0DCF83D2" w14:textId="77777777" w:rsidR="005A66A4" w:rsidRDefault="005A66A4" w:rsidP="00CD48CE">
      <w:pPr>
        <w:pStyle w:val="EndnoteText"/>
      </w:pPr>
      <w:r>
        <w:rPr>
          <w:rStyle w:val="EndnoteReference"/>
        </w:rPr>
        <w:endnoteRef/>
      </w:r>
      <w:r>
        <w:t xml:space="preserve"> </w:t>
      </w:r>
      <w:hyperlink r:id="rId6" w:history="1">
        <w:r>
          <w:rPr>
            <w:rStyle w:val="Hyperlink"/>
          </w:rPr>
          <w:t>https://www.equalityhumanrights.com/en/our-work/news/government-must-improve-record-stopping-cruel-and-inhuman-treatment</w:t>
        </w:r>
      </w:hyperlink>
    </w:p>
  </w:endnote>
  <w:endnote w:id="7">
    <w:p w14:paraId="19DF8F28" w14:textId="77777777" w:rsidR="00746B2F" w:rsidRDefault="00746B2F" w:rsidP="00746B2F">
      <w:pPr>
        <w:pStyle w:val="EndnoteText"/>
      </w:pPr>
      <w:r>
        <w:rPr>
          <w:rStyle w:val="EndnoteReference"/>
        </w:rPr>
        <w:endnoteRef/>
      </w:r>
      <w:r>
        <w:t xml:space="preserve"> </w:t>
      </w:r>
      <w:hyperlink r:id="rId7" w:history="1">
        <w:r w:rsidRPr="00565673">
          <w:rPr>
            <w:rStyle w:val="Hyperlink"/>
          </w:rPr>
          <w:t>file:///C:/Users/flora.wilkie/Downloads/POST-PN-0577.pdf</w:t>
        </w:r>
      </w:hyperlink>
      <w:r>
        <w:t xml:space="preserve"> </w:t>
      </w:r>
    </w:p>
  </w:endnote>
  <w:endnote w:id="8">
    <w:p w14:paraId="3083A9A7" w14:textId="77777777" w:rsidR="00746B2F" w:rsidRDefault="00746B2F" w:rsidP="00746B2F">
      <w:pPr>
        <w:pStyle w:val="EndnoteText"/>
      </w:pPr>
      <w:r>
        <w:rPr>
          <w:rStyle w:val="EndnoteReference"/>
        </w:rPr>
        <w:endnoteRef/>
      </w:r>
      <w:r>
        <w:t xml:space="preserve"> </w:t>
      </w:r>
      <w:hyperlink r:id="rId8" w:history="1">
        <w:r w:rsidRPr="0078206E">
          <w:rPr>
            <w:rStyle w:val="Hyperlink"/>
          </w:rPr>
          <w:t>file:///C:/Users/flora.wilkie/Documents/Youth%20Justice/ACR/CSJ_Youth_Justice_Full_Report.pdf</w:t>
        </w:r>
      </w:hyperlink>
      <w:r>
        <w:t xml:space="preserve"> </w:t>
      </w:r>
    </w:p>
  </w:endnote>
  <w:endnote w:id="9">
    <w:p w14:paraId="34960131" w14:textId="77777777" w:rsidR="00906C39" w:rsidRDefault="00906C39" w:rsidP="00906C39">
      <w:pPr>
        <w:pStyle w:val="EndnoteText"/>
      </w:pPr>
      <w:r>
        <w:rPr>
          <w:rStyle w:val="EndnoteReference"/>
        </w:rPr>
        <w:endnoteRef/>
      </w:r>
      <w:r>
        <w:t xml:space="preserve"> </w:t>
      </w:r>
      <w:hyperlink r:id="rId9" w:history="1">
        <w:r w:rsidRPr="0078206E">
          <w:rPr>
            <w:rStyle w:val="Hyperlink"/>
          </w:rPr>
          <w:t>https://www.cypp.unsw.edu.au/sites/ypp.unsw.edu.au/files/Cunneen%20%282017%29%20Arguments%20for%20raising%20the%20minimum%20age%20of%20criminal%20responsibility.pdf</w:t>
        </w:r>
      </w:hyperlink>
      <w:r>
        <w:t xml:space="preserve"> </w:t>
      </w:r>
    </w:p>
  </w:endnote>
  <w:endnote w:id="10">
    <w:p w14:paraId="79B88ABE" w14:textId="77777777" w:rsidR="00906C39" w:rsidRDefault="00906C39" w:rsidP="00906C39">
      <w:pPr>
        <w:pStyle w:val="EndnoteText"/>
      </w:pPr>
      <w:r>
        <w:rPr>
          <w:rStyle w:val="EndnoteReference"/>
        </w:rPr>
        <w:endnoteRef/>
      </w:r>
      <w:r>
        <w:t xml:space="preserve"> </w:t>
      </w:r>
      <w:hyperlink r:id="rId10" w:history="1">
        <w:r w:rsidRPr="007D512C">
          <w:rPr>
            <w:rStyle w:val="Hyperlink"/>
          </w:rPr>
          <w:t>https://thenayj.org.uk/wp-content/uploads/2015/06/2012-The-Age-of-Criminal-responsibility.pdf</w:t>
        </w:r>
      </w:hyperlink>
      <w:r>
        <w:t xml:space="preserve"> </w:t>
      </w:r>
    </w:p>
  </w:endnote>
  <w:endnote w:id="11">
    <w:p w14:paraId="3B58F2C0" w14:textId="77777777" w:rsidR="00906C39" w:rsidRDefault="00906C39" w:rsidP="00906C39">
      <w:pPr>
        <w:pStyle w:val="EndnoteText"/>
      </w:pPr>
      <w:r>
        <w:rPr>
          <w:rStyle w:val="EndnoteReference"/>
        </w:rPr>
        <w:endnoteRef/>
      </w:r>
      <w:r>
        <w:t xml:space="preserve"> </w:t>
      </w:r>
      <w:hyperlink r:id="rId11" w:history="1">
        <w:r w:rsidRPr="0078206E">
          <w:rPr>
            <w:rStyle w:val="Hyperlink"/>
          </w:rPr>
          <w:t>https://yjlc.uk/wp-content/uploads/2018/06/ACR.pdf</w:t>
        </w:r>
      </w:hyperlink>
      <w:r>
        <w:t xml:space="preserve"> </w:t>
      </w:r>
    </w:p>
  </w:endnote>
  <w:endnote w:id="12">
    <w:p w14:paraId="5117092B" w14:textId="33D91ABC" w:rsidR="001F331F" w:rsidRDefault="001F331F">
      <w:pPr>
        <w:pStyle w:val="EndnoteText"/>
      </w:pPr>
      <w:r>
        <w:rPr>
          <w:rStyle w:val="EndnoteReference"/>
        </w:rPr>
        <w:endnoteRef/>
      </w:r>
      <w:r>
        <w:t xml:space="preserve"> </w:t>
      </w:r>
      <w:hyperlink r:id="rId12" w:anchor="about-the-programme" w:history="1">
        <w:r w:rsidRPr="007D512C">
          <w:rPr>
            <w:rStyle w:val="Hyperlink"/>
          </w:rPr>
          <w:t>https://guidebook.eif.org.uk/programme/multisystemic-therapy#about-the-programme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A710" w14:textId="77777777" w:rsidR="009A08B4" w:rsidRPr="003219CC" w:rsidRDefault="009A08B4" w:rsidP="009A08B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1FDE925" w14:textId="26FFFA9D" w:rsidR="009A08B4" w:rsidRDefault="009A08B4">
    <w:pPr>
      <w:pStyle w:val="Footer"/>
    </w:pPr>
  </w:p>
  <w:p w14:paraId="453E1ECB" w14:textId="77777777" w:rsidR="009A08B4" w:rsidRDefault="009A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A5A5" w14:textId="77777777" w:rsidR="003E7673" w:rsidRPr="00C803F3" w:rsidRDefault="003E7673" w:rsidP="00C803F3">
      <w:r>
        <w:separator/>
      </w:r>
    </w:p>
  </w:footnote>
  <w:footnote w:type="continuationSeparator" w:id="0">
    <w:p w14:paraId="44527916" w14:textId="77777777" w:rsidR="003E7673" w:rsidRPr="00C803F3" w:rsidRDefault="003E767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06920E46" w:rsidR="005A66A4" w:rsidRDefault="005A66A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66A4" w:rsidRPr="00C25CA7" w14:paraId="5837A1D2" w14:textId="77777777" w:rsidTr="000F69FB">
      <w:trPr>
        <w:trHeight w:val="416"/>
      </w:trPr>
      <w:tc>
        <w:tcPr>
          <w:tcW w:w="5812" w:type="dxa"/>
          <w:vMerge w:val="restart"/>
        </w:tcPr>
        <w:p w14:paraId="5837A1D0" w14:textId="77777777" w:rsidR="005A66A4" w:rsidRPr="00C803F3" w:rsidRDefault="005A66A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0F7CBB6" w14:textId="77777777" w:rsidR="006A24B3" w:rsidRPr="006A24B3" w:rsidRDefault="006A24B3" w:rsidP="00B17FB0">
          <w:pPr>
            <w:ind w:left="0" w:firstLine="0"/>
            <w:rPr>
              <w:b/>
              <w:bCs/>
            </w:rPr>
          </w:pPr>
        </w:p>
        <w:p w14:paraId="5837A1D1" w14:textId="71B8934C" w:rsidR="005A66A4" w:rsidRPr="006A24B3" w:rsidRDefault="00B17FB0" w:rsidP="00B17FB0">
          <w:pPr>
            <w:ind w:left="0" w:firstLine="0"/>
            <w:rPr>
              <w:b/>
              <w:bCs/>
            </w:rPr>
          </w:pPr>
          <w:r w:rsidRPr="006A24B3">
            <w:rPr>
              <w:b/>
              <w:bCs/>
            </w:rPr>
            <w:t>Children and Young People Board</w:t>
          </w:r>
        </w:p>
      </w:tc>
    </w:tr>
    <w:tr w:rsidR="005A66A4" w14:paraId="5837A1D5" w14:textId="77777777" w:rsidTr="000F69FB">
      <w:trPr>
        <w:trHeight w:val="406"/>
      </w:trPr>
      <w:tc>
        <w:tcPr>
          <w:tcW w:w="5812" w:type="dxa"/>
          <w:vMerge/>
        </w:tcPr>
        <w:p w14:paraId="5837A1D3" w14:textId="77777777" w:rsidR="005A66A4" w:rsidRPr="00A627DD" w:rsidRDefault="005A66A4" w:rsidP="00C803F3"/>
      </w:tc>
      <w:tc>
        <w:tcPr>
          <w:tcW w:w="4106" w:type="dxa"/>
        </w:tcPr>
        <w:sdt>
          <w:sdtPr>
            <w:alias w:val="Date"/>
            <w:tag w:val="Date"/>
            <w:id w:val="-488943452"/>
            <w:placeholder>
              <w:docPart w:val="DC36D9B85A214F14AB68618A90760C36"/>
            </w:placeholder>
            <w:date w:fullDate="2021-01-12T00:00:00Z">
              <w:dateFormat w:val="dd MMMM yyyy"/>
              <w:lid w:val="en-GB"/>
              <w:storeMappedDataAs w:val="dateTime"/>
              <w:calendar w:val="gregorian"/>
            </w:date>
          </w:sdtPr>
          <w:sdtEndPr/>
          <w:sdtContent>
            <w:p w14:paraId="5837A1D4" w14:textId="5CE50695" w:rsidR="005A66A4" w:rsidRPr="00C803F3" w:rsidRDefault="00AC6652" w:rsidP="00C803F3">
              <w:r>
                <w:t>1</w:t>
              </w:r>
              <w:r w:rsidR="00745560">
                <w:t>2</w:t>
              </w:r>
              <w:r>
                <w:t xml:space="preserve"> January 2021</w:t>
              </w:r>
            </w:p>
          </w:sdtContent>
        </w:sdt>
      </w:tc>
    </w:tr>
    <w:tr w:rsidR="006A24B3" w:rsidRPr="00C25CA7" w14:paraId="5837A1D8" w14:textId="77777777" w:rsidTr="000F69FB">
      <w:trPr>
        <w:gridAfter w:val="1"/>
        <w:wAfter w:w="4106" w:type="dxa"/>
        <w:trHeight w:val="291"/>
      </w:trPr>
      <w:tc>
        <w:tcPr>
          <w:tcW w:w="5812" w:type="dxa"/>
          <w:vMerge/>
        </w:tcPr>
        <w:p w14:paraId="5837A1D6" w14:textId="77777777" w:rsidR="006A24B3" w:rsidRPr="00A627DD" w:rsidRDefault="006A24B3" w:rsidP="00C803F3"/>
      </w:tc>
    </w:tr>
  </w:tbl>
  <w:p w14:paraId="5837A1D9" w14:textId="77777777" w:rsidR="005A66A4" w:rsidRDefault="005A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A08B4" w:rsidRPr="006A24B3" w14:paraId="4318E473" w14:textId="77777777" w:rsidTr="00575D4F">
      <w:trPr>
        <w:trHeight w:val="416"/>
      </w:trPr>
      <w:tc>
        <w:tcPr>
          <w:tcW w:w="5812" w:type="dxa"/>
          <w:vMerge w:val="restart"/>
        </w:tcPr>
        <w:p w14:paraId="7359FA66" w14:textId="77777777" w:rsidR="009A08B4" w:rsidRPr="00C803F3" w:rsidRDefault="009A08B4" w:rsidP="009A08B4">
          <w:r w:rsidRPr="00C803F3">
            <w:rPr>
              <w:noProof/>
              <w:lang w:eastAsia="en-GB"/>
            </w:rPr>
            <w:drawing>
              <wp:inline distT="0" distB="0" distL="0" distR="0" wp14:anchorId="3C9BE912" wp14:editId="4449210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DE8078D" w14:textId="77777777" w:rsidR="009A08B4" w:rsidRPr="006A24B3" w:rsidRDefault="009A08B4" w:rsidP="009A08B4">
          <w:pPr>
            <w:ind w:left="0" w:firstLine="0"/>
            <w:rPr>
              <w:b/>
              <w:bCs/>
            </w:rPr>
          </w:pPr>
        </w:p>
        <w:p w14:paraId="297686AA" w14:textId="77777777" w:rsidR="009A08B4" w:rsidRPr="006A24B3" w:rsidRDefault="009A08B4" w:rsidP="009A08B4">
          <w:pPr>
            <w:ind w:left="0" w:firstLine="0"/>
            <w:rPr>
              <w:b/>
              <w:bCs/>
            </w:rPr>
          </w:pPr>
          <w:r w:rsidRPr="006A24B3">
            <w:rPr>
              <w:b/>
              <w:bCs/>
            </w:rPr>
            <w:t>Children and Young People Board</w:t>
          </w:r>
        </w:p>
      </w:tc>
    </w:tr>
    <w:tr w:rsidR="009A08B4" w:rsidRPr="00C803F3" w14:paraId="290EECB7" w14:textId="77777777" w:rsidTr="00575D4F">
      <w:trPr>
        <w:trHeight w:val="406"/>
      </w:trPr>
      <w:tc>
        <w:tcPr>
          <w:tcW w:w="5812" w:type="dxa"/>
          <w:vMerge/>
        </w:tcPr>
        <w:p w14:paraId="2D00EE90" w14:textId="77777777" w:rsidR="009A08B4" w:rsidRPr="00A627DD" w:rsidRDefault="009A08B4" w:rsidP="009A08B4"/>
      </w:tc>
      <w:tc>
        <w:tcPr>
          <w:tcW w:w="4106" w:type="dxa"/>
        </w:tcPr>
        <w:sdt>
          <w:sdtPr>
            <w:alias w:val="Date"/>
            <w:tag w:val="Date"/>
            <w:id w:val="2004778114"/>
            <w:placeholder>
              <w:docPart w:val="94AB01C52BF647F5A438FB1604EC3CAC"/>
            </w:placeholder>
            <w:date w:fullDate="2021-01-12T00:00:00Z">
              <w:dateFormat w:val="dd MMMM yyyy"/>
              <w:lid w:val="en-GB"/>
              <w:storeMappedDataAs w:val="dateTime"/>
              <w:calendar w:val="gregorian"/>
            </w:date>
          </w:sdtPr>
          <w:sdtEndPr/>
          <w:sdtContent>
            <w:p w14:paraId="17CCDB8A" w14:textId="77777777" w:rsidR="009A08B4" w:rsidRPr="00C803F3" w:rsidRDefault="009A08B4" w:rsidP="009A08B4">
              <w:r>
                <w:t>12 January 2021</w:t>
              </w:r>
            </w:p>
          </w:sdtContent>
        </w:sdt>
      </w:tc>
    </w:tr>
  </w:tbl>
  <w:p w14:paraId="7791654C" w14:textId="77777777" w:rsidR="009A08B4" w:rsidRPr="009A08B4" w:rsidRDefault="009A08B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885"/>
    <w:multiLevelType w:val="hybridMultilevel"/>
    <w:tmpl w:val="A83A6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A3FE3"/>
    <w:multiLevelType w:val="hybridMultilevel"/>
    <w:tmpl w:val="2DD26058"/>
    <w:lvl w:ilvl="0" w:tplc="F3D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8FE"/>
    <w:multiLevelType w:val="multilevel"/>
    <w:tmpl w:val="650CD920"/>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801327"/>
    <w:multiLevelType w:val="multilevel"/>
    <w:tmpl w:val="F446D9B0"/>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727E36"/>
    <w:multiLevelType w:val="hybridMultilevel"/>
    <w:tmpl w:val="5EF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2544"/>
    <w:multiLevelType w:val="multilevel"/>
    <w:tmpl w:val="90AA3C8A"/>
    <w:lvl w:ilvl="0">
      <w:start w:val="10"/>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18D56B34"/>
    <w:multiLevelType w:val="multilevel"/>
    <w:tmpl w:val="EAFC7DB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5A35D5"/>
    <w:multiLevelType w:val="hybridMultilevel"/>
    <w:tmpl w:val="DBDA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0F06"/>
    <w:multiLevelType w:val="hybridMultilevel"/>
    <w:tmpl w:val="4C14F9DE"/>
    <w:lvl w:ilvl="0" w:tplc="F3D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A20A2"/>
    <w:multiLevelType w:val="hybridMultilevel"/>
    <w:tmpl w:val="10FC1006"/>
    <w:lvl w:ilvl="0" w:tplc="F3D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2EC0DE10"/>
    <w:lvl w:ilvl="0">
      <w:start w:val="1"/>
      <w:numFmt w:val="decimal"/>
      <w:pStyle w:val="ListParagraph"/>
      <w:lvlText w:val="%1."/>
      <w:lvlJc w:val="left"/>
      <w:pPr>
        <w:ind w:left="501" w:hanging="360"/>
      </w:pPr>
      <w:rPr>
        <w:b w:val="0"/>
        <w:i w:val="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976B42"/>
    <w:multiLevelType w:val="hybridMultilevel"/>
    <w:tmpl w:val="080C0604"/>
    <w:lvl w:ilvl="0" w:tplc="1C566DD0">
      <w:start w:val="6"/>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3141A4"/>
    <w:multiLevelType w:val="hybridMultilevel"/>
    <w:tmpl w:val="E4AA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A6365"/>
    <w:multiLevelType w:val="multilevel"/>
    <w:tmpl w:val="D53C1784"/>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6080AE2"/>
    <w:multiLevelType w:val="multilevel"/>
    <w:tmpl w:val="4244750A"/>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F6EDD"/>
    <w:multiLevelType w:val="hybridMultilevel"/>
    <w:tmpl w:val="D0C8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445C9"/>
    <w:multiLevelType w:val="hybridMultilevel"/>
    <w:tmpl w:val="C728D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8B39B8"/>
    <w:multiLevelType w:val="multilevel"/>
    <w:tmpl w:val="11B2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C0DE0"/>
    <w:multiLevelType w:val="hybridMultilevel"/>
    <w:tmpl w:val="F6E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01F0D"/>
    <w:multiLevelType w:val="hybridMultilevel"/>
    <w:tmpl w:val="94A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C3AE2"/>
    <w:multiLevelType w:val="hybridMultilevel"/>
    <w:tmpl w:val="847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85BF4"/>
    <w:multiLevelType w:val="hybridMultilevel"/>
    <w:tmpl w:val="87A41684"/>
    <w:lvl w:ilvl="0" w:tplc="368E6D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C2BEB"/>
    <w:multiLevelType w:val="hybridMultilevel"/>
    <w:tmpl w:val="4994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45D8"/>
    <w:multiLevelType w:val="multilevel"/>
    <w:tmpl w:val="5AA25DA2"/>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4A6919"/>
    <w:multiLevelType w:val="multilevel"/>
    <w:tmpl w:val="81E247A0"/>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9AA3D36"/>
    <w:multiLevelType w:val="hybridMultilevel"/>
    <w:tmpl w:val="565ED86E"/>
    <w:lvl w:ilvl="0" w:tplc="1C566DD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67868"/>
    <w:multiLevelType w:val="multilevel"/>
    <w:tmpl w:val="20E08036"/>
    <w:lvl w:ilvl="0">
      <w:start w:val="4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1"/>
  </w:num>
  <w:num w:numId="2">
    <w:abstractNumId w:val="10"/>
  </w:num>
  <w:num w:numId="3">
    <w:abstractNumId w:val="0"/>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9"/>
  </w:num>
  <w:num w:numId="9">
    <w:abstractNumId w:val="20"/>
  </w:num>
  <w:num w:numId="10">
    <w:abstractNumId w:val="13"/>
  </w:num>
  <w:num w:numId="11">
    <w:abstractNumId w:val="23"/>
  </w:num>
  <w:num w:numId="12">
    <w:abstractNumId w:val="16"/>
  </w:num>
  <w:num w:numId="13">
    <w:abstractNumId w:val="21"/>
  </w:num>
  <w:num w:numId="14">
    <w:abstractNumId w:val="18"/>
  </w:num>
  <w:num w:numId="15">
    <w:abstractNumId w:val="26"/>
  </w:num>
  <w:num w:numId="16">
    <w:abstractNumId w:val="12"/>
  </w:num>
  <w:num w:numId="17">
    <w:abstractNumId w:val="9"/>
  </w:num>
  <w:num w:numId="18">
    <w:abstractNumId w:val="8"/>
  </w:num>
  <w:num w:numId="19">
    <w:abstractNumId w:val="1"/>
  </w:num>
  <w:num w:numId="20">
    <w:abstractNumId w:val="4"/>
  </w:num>
  <w:num w:numId="21">
    <w:abstractNumId w:val="5"/>
  </w:num>
  <w:num w:numId="22">
    <w:abstractNumId w:val="6"/>
  </w:num>
  <w:num w:numId="23">
    <w:abstractNumId w:val="24"/>
  </w:num>
  <w:num w:numId="24">
    <w:abstractNumId w:val="14"/>
  </w:num>
  <w:num w:numId="25">
    <w:abstractNumId w:val="25"/>
  </w:num>
  <w:num w:numId="26">
    <w:abstractNumId w:val="2"/>
  </w:num>
  <w:num w:numId="27">
    <w:abstractNumId w:val="3"/>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25BDD"/>
    <w:rsid w:val="00040F2B"/>
    <w:rsid w:val="0004608B"/>
    <w:rsid w:val="0005507D"/>
    <w:rsid w:val="00082FCA"/>
    <w:rsid w:val="0008438D"/>
    <w:rsid w:val="00096436"/>
    <w:rsid w:val="000A7B10"/>
    <w:rsid w:val="000C1E40"/>
    <w:rsid w:val="000C2DAE"/>
    <w:rsid w:val="000C432D"/>
    <w:rsid w:val="000C6C82"/>
    <w:rsid w:val="000E46C2"/>
    <w:rsid w:val="000F114C"/>
    <w:rsid w:val="000F69FB"/>
    <w:rsid w:val="00113C4F"/>
    <w:rsid w:val="0011497B"/>
    <w:rsid w:val="00121837"/>
    <w:rsid w:val="001672CD"/>
    <w:rsid w:val="00172ED0"/>
    <w:rsid w:val="001813A6"/>
    <w:rsid w:val="00192B55"/>
    <w:rsid w:val="00193FD3"/>
    <w:rsid w:val="001B36CE"/>
    <w:rsid w:val="001B3D81"/>
    <w:rsid w:val="001D24FF"/>
    <w:rsid w:val="001E269C"/>
    <w:rsid w:val="001F2CB9"/>
    <w:rsid w:val="001F331F"/>
    <w:rsid w:val="001F5987"/>
    <w:rsid w:val="00220F75"/>
    <w:rsid w:val="002539E9"/>
    <w:rsid w:val="00253DA9"/>
    <w:rsid w:val="00257CDF"/>
    <w:rsid w:val="002752AB"/>
    <w:rsid w:val="002A716E"/>
    <w:rsid w:val="002C7657"/>
    <w:rsid w:val="002D5487"/>
    <w:rsid w:val="00301A51"/>
    <w:rsid w:val="00307606"/>
    <w:rsid w:val="003219CC"/>
    <w:rsid w:val="0033673D"/>
    <w:rsid w:val="00354920"/>
    <w:rsid w:val="0038001F"/>
    <w:rsid w:val="00391A3A"/>
    <w:rsid w:val="00396521"/>
    <w:rsid w:val="003A55BD"/>
    <w:rsid w:val="003B3F7E"/>
    <w:rsid w:val="003D01F3"/>
    <w:rsid w:val="003E6EFE"/>
    <w:rsid w:val="003E7673"/>
    <w:rsid w:val="004008F9"/>
    <w:rsid w:val="00411689"/>
    <w:rsid w:val="00432EE1"/>
    <w:rsid w:val="00464652"/>
    <w:rsid w:val="00485F59"/>
    <w:rsid w:val="004866D5"/>
    <w:rsid w:val="0049084D"/>
    <w:rsid w:val="004A5056"/>
    <w:rsid w:val="004E458A"/>
    <w:rsid w:val="005018BD"/>
    <w:rsid w:val="005044E1"/>
    <w:rsid w:val="005050B1"/>
    <w:rsid w:val="00526D37"/>
    <w:rsid w:val="00563FB8"/>
    <w:rsid w:val="00566B66"/>
    <w:rsid w:val="00576E4B"/>
    <w:rsid w:val="005817E6"/>
    <w:rsid w:val="00584D9B"/>
    <w:rsid w:val="005A66A4"/>
    <w:rsid w:val="005B4ECF"/>
    <w:rsid w:val="005C589C"/>
    <w:rsid w:val="005D4092"/>
    <w:rsid w:val="005E616B"/>
    <w:rsid w:val="005E6CA2"/>
    <w:rsid w:val="00614D8E"/>
    <w:rsid w:val="00626CEA"/>
    <w:rsid w:val="006423ED"/>
    <w:rsid w:val="006757D6"/>
    <w:rsid w:val="006771F3"/>
    <w:rsid w:val="006777A0"/>
    <w:rsid w:val="006857D2"/>
    <w:rsid w:val="006968A5"/>
    <w:rsid w:val="006A24B3"/>
    <w:rsid w:val="006A71AE"/>
    <w:rsid w:val="006C7EC8"/>
    <w:rsid w:val="00712C86"/>
    <w:rsid w:val="00723E1C"/>
    <w:rsid w:val="00736D7C"/>
    <w:rsid w:val="00745560"/>
    <w:rsid w:val="00746B2F"/>
    <w:rsid w:val="00751314"/>
    <w:rsid w:val="00752103"/>
    <w:rsid w:val="007622BA"/>
    <w:rsid w:val="00782445"/>
    <w:rsid w:val="007838C6"/>
    <w:rsid w:val="00786B49"/>
    <w:rsid w:val="00795C95"/>
    <w:rsid w:val="007B1CA6"/>
    <w:rsid w:val="007E18D9"/>
    <w:rsid w:val="007E268E"/>
    <w:rsid w:val="0080661C"/>
    <w:rsid w:val="00864058"/>
    <w:rsid w:val="008753AC"/>
    <w:rsid w:val="00883D96"/>
    <w:rsid w:val="0088622D"/>
    <w:rsid w:val="00890C1E"/>
    <w:rsid w:val="00891AE9"/>
    <w:rsid w:val="008A6B04"/>
    <w:rsid w:val="008A70C0"/>
    <w:rsid w:val="008C5D3D"/>
    <w:rsid w:val="008E3DB7"/>
    <w:rsid w:val="008E5258"/>
    <w:rsid w:val="00906C39"/>
    <w:rsid w:val="0091083C"/>
    <w:rsid w:val="00912FAC"/>
    <w:rsid w:val="0093066F"/>
    <w:rsid w:val="00931DE3"/>
    <w:rsid w:val="009326FF"/>
    <w:rsid w:val="009541C9"/>
    <w:rsid w:val="009A08B4"/>
    <w:rsid w:val="009A1308"/>
    <w:rsid w:val="009A5CAA"/>
    <w:rsid w:val="009B03F7"/>
    <w:rsid w:val="009B1AA8"/>
    <w:rsid w:val="009B6F95"/>
    <w:rsid w:val="00A2243C"/>
    <w:rsid w:val="00A23229"/>
    <w:rsid w:val="00A24071"/>
    <w:rsid w:val="00A45EFC"/>
    <w:rsid w:val="00A5227A"/>
    <w:rsid w:val="00A642D1"/>
    <w:rsid w:val="00A64D3F"/>
    <w:rsid w:val="00A73644"/>
    <w:rsid w:val="00A73C31"/>
    <w:rsid w:val="00AB087F"/>
    <w:rsid w:val="00AC32A1"/>
    <w:rsid w:val="00AC340B"/>
    <w:rsid w:val="00AC48F3"/>
    <w:rsid w:val="00AC56C2"/>
    <w:rsid w:val="00AC6652"/>
    <w:rsid w:val="00AF6984"/>
    <w:rsid w:val="00B13EAB"/>
    <w:rsid w:val="00B154AF"/>
    <w:rsid w:val="00B17FB0"/>
    <w:rsid w:val="00B3174D"/>
    <w:rsid w:val="00B3646B"/>
    <w:rsid w:val="00B37D32"/>
    <w:rsid w:val="00B51DF7"/>
    <w:rsid w:val="00B55F98"/>
    <w:rsid w:val="00B57AC3"/>
    <w:rsid w:val="00B809CF"/>
    <w:rsid w:val="00B84F31"/>
    <w:rsid w:val="00BA7381"/>
    <w:rsid w:val="00BB435B"/>
    <w:rsid w:val="00BB537F"/>
    <w:rsid w:val="00BD2CD0"/>
    <w:rsid w:val="00BD50CE"/>
    <w:rsid w:val="00BD715C"/>
    <w:rsid w:val="00C06E79"/>
    <w:rsid w:val="00C2164C"/>
    <w:rsid w:val="00C31644"/>
    <w:rsid w:val="00C43421"/>
    <w:rsid w:val="00C463DA"/>
    <w:rsid w:val="00C64B43"/>
    <w:rsid w:val="00C803F3"/>
    <w:rsid w:val="00CA0320"/>
    <w:rsid w:val="00CB2D9E"/>
    <w:rsid w:val="00CB3D37"/>
    <w:rsid w:val="00CD48CE"/>
    <w:rsid w:val="00CF44D7"/>
    <w:rsid w:val="00D12B95"/>
    <w:rsid w:val="00D2091B"/>
    <w:rsid w:val="00D43AA5"/>
    <w:rsid w:val="00D45B4D"/>
    <w:rsid w:val="00D53631"/>
    <w:rsid w:val="00D65CA7"/>
    <w:rsid w:val="00D74479"/>
    <w:rsid w:val="00D9156D"/>
    <w:rsid w:val="00DA547C"/>
    <w:rsid w:val="00DA7394"/>
    <w:rsid w:val="00DE6EE7"/>
    <w:rsid w:val="00E27872"/>
    <w:rsid w:val="00E34A4E"/>
    <w:rsid w:val="00E55AC9"/>
    <w:rsid w:val="00E9207A"/>
    <w:rsid w:val="00EB7F18"/>
    <w:rsid w:val="00EC5FAC"/>
    <w:rsid w:val="00EE4B01"/>
    <w:rsid w:val="00EF4196"/>
    <w:rsid w:val="00F00C03"/>
    <w:rsid w:val="00F07DE5"/>
    <w:rsid w:val="00F20D7E"/>
    <w:rsid w:val="00F276B1"/>
    <w:rsid w:val="00F31A66"/>
    <w:rsid w:val="00F40EF5"/>
    <w:rsid w:val="00F53E4A"/>
    <w:rsid w:val="00F65944"/>
    <w:rsid w:val="00F769BF"/>
    <w:rsid w:val="00FB0A17"/>
    <w:rsid w:val="00FD3CB2"/>
    <w:rsid w:val="00FE65E6"/>
    <w:rsid w:val="00FE68E3"/>
    <w:rsid w:val="3C21C408"/>
    <w:rsid w:val="40B4D2BC"/>
    <w:rsid w:val="7433ACFE"/>
    <w:rsid w:val="7C69B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FD271938-EAC7-4AF6-B415-DF9B57FE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EndnoteText">
    <w:name w:val="endnote text"/>
    <w:basedOn w:val="Normal"/>
    <w:link w:val="EndnoteTextChar"/>
    <w:uiPriority w:val="99"/>
    <w:semiHidden/>
    <w:unhideWhenUsed/>
    <w:rsid w:val="00AC4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8F3"/>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AC48F3"/>
    <w:rPr>
      <w:vertAlign w:val="superscript"/>
    </w:rPr>
  </w:style>
  <w:style w:type="character" w:styleId="Hyperlink">
    <w:name w:val="Hyperlink"/>
    <w:basedOn w:val="DefaultParagraphFont"/>
    <w:uiPriority w:val="99"/>
    <w:unhideWhenUsed/>
    <w:rsid w:val="00AC48F3"/>
    <w:rPr>
      <w:color w:val="0000FF"/>
      <w:u w:val="single"/>
    </w:rPr>
  </w:style>
  <w:style w:type="character" w:styleId="UnresolvedMention">
    <w:name w:val="Unresolved Mention"/>
    <w:basedOn w:val="DefaultParagraphFont"/>
    <w:uiPriority w:val="99"/>
    <w:semiHidden/>
    <w:unhideWhenUsed/>
    <w:rsid w:val="00253DA9"/>
    <w:rPr>
      <w:color w:val="605E5C"/>
      <w:shd w:val="clear" w:color="auto" w:fill="E1DFDD"/>
    </w:rPr>
  </w:style>
  <w:style w:type="character" w:styleId="FollowedHyperlink">
    <w:name w:val="FollowedHyperlink"/>
    <w:basedOn w:val="DefaultParagraphFont"/>
    <w:uiPriority w:val="99"/>
    <w:semiHidden/>
    <w:unhideWhenUsed/>
    <w:rsid w:val="00096436"/>
    <w:rPr>
      <w:color w:val="954F72" w:themeColor="followedHyperlink"/>
      <w:u w:val="single"/>
    </w:rPr>
  </w:style>
  <w:style w:type="table" w:styleId="PlainTable5">
    <w:name w:val="Plain Table 5"/>
    <w:basedOn w:val="TableNormal"/>
    <w:uiPriority w:val="99"/>
    <w:rsid w:val="00B55F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082FCA"/>
    <w:rPr>
      <w:sz w:val="16"/>
      <w:szCs w:val="16"/>
    </w:rPr>
  </w:style>
  <w:style w:type="paragraph" w:styleId="CommentText">
    <w:name w:val="annotation text"/>
    <w:basedOn w:val="Normal"/>
    <w:link w:val="CommentTextChar"/>
    <w:uiPriority w:val="99"/>
    <w:semiHidden/>
    <w:unhideWhenUsed/>
    <w:rsid w:val="00082FCA"/>
    <w:pPr>
      <w:spacing w:line="240" w:lineRule="auto"/>
    </w:pPr>
    <w:rPr>
      <w:sz w:val="20"/>
      <w:szCs w:val="20"/>
    </w:rPr>
  </w:style>
  <w:style w:type="character" w:customStyle="1" w:styleId="CommentTextChar">
    <w:name w:val="Comment Text Char"/>
    <w:basedOn w:val="DefaultParagraphFont"/>
    <w:link w:val="CommentText"/>
    <w:uiPriority w:val="99"/>
    <w:semiHidden/>
    <w:rsid w:val="00082FC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82FCA"/>
    <w:rPr>
      <w:b/>
      <w:bCs/>
    </w:rPr>
  </w:style>
  <w:style w:type="character" w:customStyle="1" w:styleId="CommentSubjectChar">
    <w:name w:val="Comment Subject Char"/>
    <w:basedOn w:val="CommentTextChar"/>
    <w:link w:val="CommentSubject"/>
    <w:uiPriority w:val="99"/>
    <w:semiHidden/>
    <w:rsid w:val="00082FC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6309">
      <w:bodyDiv w:val="1"/>
      <w:marLeft w:val="0"/>
      <w:marRight w:val="0"/>
      <w:marTop w:val="0"/>
      <w:marBottom w:val="0"/>
      <w:divBdr>
        <w:top w:val="none" w:sz="0" w:space="0" w:color="auto"/>
        <w:left w:val="none" w:sz="0" w:space="0" w:color="auto"/>
        <w:bottom w:val="none" w:sz="0" w:space="0" w:color="auto"/>
        <w:right w:val="none" w:sz="0" w:space="0" w:color="auto"/>
      </w:divBdr>
    </w:div>
    <w:div w:id="109674797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file:///C:/Users/flora.wilkie/Documents/Youth%20Justice/ACR/CSJ_Youth_Justice_Full_Report.pdf" TargetMode="External"/><Relationship Id="rId3" Type="http://schemas.openxmlformats.org/officeDocument/2006/relationships/hyperlink" Target="https://committees.parliament.uk/committee/102/justice-committee/publications/" TargetMode="External"/><Relationship Id="rId7" Type="http://schemas.openxmlformats.org/officeDocument/2006/relationships/hyperlink" Target="file:///C:/Users/flora.wilkie/Downloads/POST-PN-0577.pdf" TargetMode="External"/><Relationship Id="rId12" Type="http://schemas.openxmlformats.org/officeDocument/2006/relationships/hyperlink" Target="https://guidebook.eif.org.uk/programme/multisystemic-therapy" TargetMode="External"/><Relationship Id="rId2" Type="http://schemas.openxmlformats.org/officeDocument/2006/relationships/hyperlink" Target="https://www.ohchr.org/Documents/HRBodies/CRC/GC24/GeneralComment24.pdf" TargetMode="External"/><Relationship Id="rId1" Type="http://schemas.openxmlformats.org/officeDocument/2006/relationships/hyperlink" Target="https://www2.ohchr.org/english/bodies/crc/docs/CRC.C.GC.10.pdf" TargetMode="External"/><Relationship Id="rId6" Type="http://schemas.openxmlformats.org/officeDocument/2006/relationships/hyperlink" Target="https://www.equalityhumanrights.com/en/our-work/news/government-must-improve-record-stopping-cruel-and-inhuman-treatment" TargetMode="External"/><Relationship Id="rId11" Type="http://schemas.openxmlformats.org/officeDocument/2006/relationships/hyperlink" Target="https://yjlc.uk/wp-content/uploads/2018/06/ACR.pdf" TargetMode="External"/><Relationship Id="rId5" Type="http://schemas.openxmlformats.org/officeDocument/2006/relationships/hyperlink" Target="https://yjlc.uk/wp-content/uploads/2018/06/ACR.pdf" TargetMode="External"/><Relationship Id="rId10" Type="http://schemas.openxmlformats.org/officeDocument/2006/relationships/hyperlink" Target="https://thenayj.org.uk/wp-content/uploads/2015/06/2012-The-Age-of-Criminal-responsibility.pdf" TargetMode="External"/><Relationship Id="rId4" Type="http://schemas.openxmlformats.org/officeDocument/2006/relationships/hyperlink" Target="https://www.theguardian.com/society/2019/nov/04/age-of-criminal-responsibility-must-be-raised-say-experts" TargetMode="External"/><Relationship Id="rId9" Type="http://schemas.openxmlformats.org/officeDocument/2006/relationships/hyperlink" Target="https://www.cypp.unsw.edu.au/sites/ypp.unsw.edu.au/files/Cunneen%20%282017%29%20Arguments%20for%20raising%20the%20minimum%20age%20of%20criminal%20responsibility.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4AB01C52BF647F5A438FB1604EC3CAC"/>
        <w:category>
          <w:name w:val="General"/>
          <w:gallery w:val="placeholder"/>
        </w:category>
        <w:types>
          <w:type w:val="bbPlcHdr"/>
        </w:types>
        <w:behaviors>
          <w:behavior w:val="content"/>
        </w:behaviors>
        <w:guid w:val="{CC946C2D-38BB-4073-B71A-F9936DBFFAAF}"/>
      </w:docPartPr>
      <w:docPartBody>
        <w:p w:rsidR="00A76728" w:rsidRDefault="00D05854" w:rsidP="00D05854">
          <w:pPr>
            <w:pStyle w:val="94AB01C52BF647F5A438FB1604EC3CA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97D1B"/>
    <w:rsid w:val="001C79DF"/>
    <w:rsid w:val="002E3817"/>
    <w:rsid w:val="002F1F5C"/>
    <w:rsid w:val="0036323D"/>
    <w:rsid w:val="004730AE"/>
    <w:rsid w:val="004E2C7C"/>
    <w:rsid w:val="00543553"/>
    <w:rsid w:val="007636FA"/>
    <w:rsid w:val="007E7863"/>
    <w:rsid w:val="00A76728"/>
    <w:rsid w:val="00B710F9"/>
    <w:rsid w:val="00BA195A"/>
    <w:rsid w:val="00D05854"/>
    <w:rsid w:val="00DA0B43"/>
    <w:rsid w:val="00E97588"/>
    <w:rsid w:val="00EE1FE1"/>
    <w:rsid w:val="00F66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85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BB158542E944615964B1A192CB55E78">
    <w:name w:val="DBB158542E944615964B1A192CB55E78"/>
    <w:rsid w:val="00DA0B43"/>
    <w:rPr>
      <w:lang w:eastAsia="en-GB"/>
    </w:rPr>
  </w:style>
  <w:style w:type="paragraph" w:customStyle="1" w:styleId="94AB01C52BF647F5A438FB1604EC3CAC">
    <w:name w:val="94AB01C52BF647F5A438FB1604EC3CAC"/>
    <w:rsid w:val="00D0585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9c690c90-9711-4366-b1ed-ea3dbfcf736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cda5439-da3e-4e6d-8c4b-6c8568aeffe9"/>
    <ds:schemaRef ds:uri="http://www.w3.org/XML/1998/namespace"/>
  </ds:schemaRefs>
</ds:datastoreItem>
</file>

<file path=customXml/itemProps3.xml><?xml version="1.0" encoding="utf-8"?>
<ds:datastoreItem xmlns:ds="http://schemas.openxmlformats.org/officeDocument/2006/customXml" ds:itemID="{2A683053-58EA-4959-9C3E-45300EC8F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EB963-DE48-4967-9436-4260AA25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12</cp:revision>
  <dcterms:created xsi:type="dcterms:W3CDTF">2020-12-29T16:26:00Z</dcterms:created>
  <dcterms:modified xsi:type="dcterms:W3CDTF">2021-01-06T09:25:00Z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